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F2" w:rsidRPr="003D4CF2" w:rsidRDefault="003D4CF2" w:rsidP="003D4CF2">
      <w:pPr>
        <w:jc w:val="center"/>
        <w:rPr>
          <w:b/>
          <w:sz w:val="72"/>
          <w:lang w:val="en-US"/>
        </w:rPr>
      </w:pPr>
      <w:r w:rsidRPr="003D4CF2">
        <w:rPr>
          <w:b/>
          <w:sz w:val="72"/>
          <w:lang w:val="en-US"/>
        </w:rPr>
        <w:t>PEA</w:t>
      </w:r>
    </w:p>
    <w:p w:rsidR="00FA2AB9" w:rsidRPr="003D4CF2" w:rsidRDefault="00FA2AB9" w:rsidP="003D4CF2">
      <w:pPr>
        <w:jc w:val="center"/>
        <w:rPr>
          <w:lang w:val="en-US"/>
        </w:rPr>
      </w:pPr>
      <w:r w:rsidRPr="003D4CF2">
        <w:rPr>
          <w:lang w:val="en-US"/>
        </w:rPr>
        <w:t xml:space="preserve">Marta </w:t>
      </w:r>
      <w:proofErr w:type="spellStart"/>
      <w:r w:rsidRPr="003D4CF2">
        <w:rPr>
          <w:lang w:val="en-US"/>
        </w:rPr>
        <w:t>Głowacka</w:t>
      </w:r>
      <w:proofErr w:type="spellEnd"/>
      <w:r w:rsidRPr="003D4CF2">
        <w:rPr>
          <w:lang w:val="en-US"/>
        </w:rPr>
        <w:t xml:space="preserve"> 234999</w:t>
      </w:r>
    </w:p>
    <w:p w:rsidR="00FA2AB9" w:rsidRPr="003D4CF2" w:rsidRDefault="003D4CF2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Branch and Bound – WERSJA 2</w:t>
      </w:r>
    </w:p>
    <w:p w:rsidR="008A4CB8" w:rsidRDefault="00D00FEB" w:rsidP="00FA2AB9">
      <w:pPr>
        <w:jc w:val="both"/>
      </w:pPr>
      <w:r>
        <w:t xml:space="preserve">Wykonałam drugą wersję algorytmu </w:t>
      </w:r>
      <w:proofErr w:type="spellStart"/>
      <w:r>
        <w:t>Branch</w:t>
      </w:r>
      <w:proofErr w:type="spellEnd"/>
      <w:r>
        <w:t xml:space="preserve"> and </w:t>
      </w:r>
      <w:proofErr w:type="spellStart"/>
      <w:r>
        <w:t>Bound</w:t>
      </w:r>
      <w:proofErr w:type="spellEnd"/>
      <w:r>
        <w:t xml:space="preserve">, jako że pierwszy okazał się nieefektywny ze względu na zbyt wiele pamięci wymaganej przy obliczaniu rozwiązania dla macierzy o rozmiarze 17 (w kolejce było za dużo węzłów, a każdy z nich trzymał w sobie dodatkowo macierz n x n). </w:t>
      </w:r>
    </w:p>
    <w:p w:rsidR="00D00FEB" w:rsidRDefault="00D00FEB" w:rsidP="00FA2AB9">
      <w:pPr>
        <w:jc w:val="both"/>
      </w:pPr>
      <w:r>
        <w:t xml:space="preserve">Druga wersja algorytmu </w:t>
      </w:r>
      <w:proofErr w:type="spellStart"/>
      <w:r>
        <w:t>B&amp;B</w:t>
      </w:r>
      <w:proofErr w:type="spellEnd"/>
      <w:r>
        <w:t xml:space="preserve"> polega na</w:t>
      </w:r>
      <w:r w:rsidR="00FA2AB9">
        <w:t xml:space="preserve"> użyciu funkcji rekurencyjnej i</w:t>
      </w:r>
      <w:r>
        <w:t xml:space="preserve"> </w:t>
      </w:r>
      <w:r w:rsidR="00FA2AB9">
        <w:t xml:space="preserve">uzyskiwaniu </w:t>
      </w:r>
      <w:r>
        <w:t>permutacji</w:t>
      </w:r>
      <w:r w:rsidR="00FA2AB9">
        <w:t xml:space="preserve">. Funkcja ograniczająca liczy ograniczenie dolne dla danej permutacji i odcina gałęzie nieobiecujące. Dzięki temu nie wykonujemy części kodu dla wszystkich permutacji, ale tylko tych obiecujących, których ograniczenie jest mniejsze niż aktualne ograniczenie globalne.  </w:t>
      </w:r>
    </w:p>
    <w:p w:rsidR="00FA2AB9" w:rsidRDefault="00FA2AB9" w:rsidP="00FA2AB9">
      <w:pPr>
        <w:jc w:val="both"/>
      </w:pPr>
      <w:r>
        <w:t xml:space="preserve">Strukturą służącą do mieszczenia permutacji jest </w:t>
      </w:r>
      <w:proofErr w:type="spellStart"/>
      <w:r>
        <w:t>vector</w:t>
      </w:r>
      <w:proofErr w:type="spellEnd"/>
      <w:r>
        <w:t xml:space="preserve"> rozmiaru N (liczba miast) + 1 (na końcu ponownie wpisujemy wierzchołek zerowy), który na samym początku mieści rosnący ciąg: 0,1,2,3,4…0. </w:t>
      </w:r>
      <w:r w:rsidR="00C043DD">
        <w:t>Podczas algorytmu permutacja jest zmieniana tak, aby żadna konfiguracja się nie powtórzyła (</w:t>
      </w:r>
      <w:proofErr w:type="spellStart"/>
      <w:r w:rsidR="00C043DD">
        <w:t>swapowanie</w:t>
      </w:r>
      <w:proofErr w:type="spellEnd"/>
      <w:r w:rsidR="00C043DD">
        <w:t xml:space="preserve"> wartości na miejscu </w:t>
      </w:r>
      <w:r w:rsidR="00C043DD" w:rsidRPr="00C043DD">
        <w:rPr>
          <w:i/>
        </w:rPr>
        <w:t>step</w:t>
      </w:r>
      <w:r w:rsidR="00C043DD">
        <w:t xml:space="preserve"> z każdą i-tą wartością ciągu, poczynając od wartości na miejscu </w:t>
      </w:r>
      <w:r w:rsidR="00C043DD" w:rsidRPr="00C043DD">
        <w:rPr>
          <w:i/>
        </w:rPr>
        <w:t>step</w:t>
      </w:r>
      <w:r w:rsidR="00C043DD">
        <w:t>;</w:t>
      </w:r>
      <w:r w:rsidR="00C043DD" w:rsidRPr="00C043DD">
        <w:t xml:space="preserve"> po tej operacji zwiększenie step</w:t>
      </w:r>
      <w:r w:rsidR="00C043DD">
        <w:t xml:space="preserve"> i odwrócenie zmian, aby kolejna pętla mogła się wykonać na niezmienionym przez poprzednią pętlę porządku). </w:t>
      </w:r>
    </w:p>
    <w:p w:rsidR="00C043DD" w:rsidRDefault="00C043DD" w:rsidP="00FA2AB9">
      <w:pPr>
        <w:jc w:val="both"/>
      </w:pPr>
      <w:r>
        <w:t xml:space="preserve">Gdy zmienna iterująca kroki – step będzie równa liczbie miast, to znaczy, że zrobiliśmy wszystkie kroki i możemy zaktualizować koszt drogi i podać jako rozwiązanie </w:t>
      </w:r>
    </w:p>
    <w:p w:rsidR="00FA2AB9" w:rsidRPr="00EA334B" w:rsidRDefault="00FA2AB9">
      <w:pPr>
        <w:rPr>
          <w:b/>
          <w:sz w:val="28"/>
        </w:rPr>
      </w:pPr>
      <w:r w:rsidRPr="00EA334B">
        <w:rPr>
          <w:b/>
          <w:sz w:val="28"/>
        </w:rPr>
        <w:t>Funkcja ograniczająca</w:t>
      </w:r>
    </w:p>
    <w:p w:rsidR="001A71D1" w:rsidRDefault="001A71D1" w:rsidP="001A71D1">
      <w:pPr>
        <w:jc w:val="both"/>
      </w:pPr>
      <w:r>
        <w:t xml:space="preserve">Jako argument przyjmuje permutację, w skład której wchodzą wszystkie wierzchołki oraz step - </w:t>
      </w:r>
      <w:proofErr w:type="spellStart"/>
      <w:r>
        <w:t>piwot</w:t>
      </w:r>
      <w:proofErr w:type="spellEnd"/>
      <w:r>
        <w:t xml:space="preserve">, ostatni wierzchołek trasy, miejsce, od którego kolejność wierzchołków nie ma znaczenia, bo nie należą do aktualnie wyliczonej trasy. </w:t>
      </w:r>
    </w:p>
    <w:p w:rsidR="00612080" w:rsidRDefault="00612080" w:rsidP="001A71D1">
      <w:pPr>
        <w:jc w:val="both"/>
      </w:pPr>
      <w:r>
        <w:t>Dolne ograniczenie to suma kosztów dla znanej części trasy (do step) i minimalnych kosztów odległości dla jeszcze nie ustalonej trasy.</w:t>
      </w:r>
    </w:p>
    <w:p w:rsidR="00EA334B" w:rsidRDefault="00EA334B" w:rsidP="001A71D1">
      <w:pPr>
        <w:jc w:val="both"/>
      </w:pPr>
      <w:r>
        <w:t xml:space="preserve">Zobrazujmy działanie kolejnych trzech pętli przykładowym ciągiem podanym jako argument funkcji </w:t>
      </w:r>
      <w:proofErr w:type="spellStart"/>
      <w:r>
        <w:t>calculate_bound</w:t>
      </w:r>
      <w:proofErr w:type="spellEnd"/>
      <w:r>
        <w:t xml:space="preserve">: (pogrubiona 1 to </w:t>
      </w:r>
      <w:proofErr w:type="spellStart"/>
      <w:r>
        <w:t>piwot</w:t>
      </w:r>
      <w:proofErr w:type="spellEnd"/>
      <w:r>
        <w:t>, czyli step)</w:t>
      </w:r>
      <w:r w:rsidR="00707098">
        <w:t>. Znana część trasy to 021.</w:t>
      </w:r>
    </w:p>
    <w:p w:rsidR="00EA334B" w:rsidRDefault="00EA334B" w:rsidP="001A71D1">
      <w:pPr>
        <w:jc w:val="both"/>
      </w:pPr>
      <m:oMathPara>
        <m:oMath>
          <m:r>
            <w:rPr>
              <w:rFonts w:ascii="Cambria Math" w:hAnsi="Cambria Math"/>
            </w:rPr>
            <m:t>02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3487650</m:t>
          </m:r>
        </m:oMath>
      </m:oMathPara>
    </w:p>
    <w:p w:rsidR="00EA334B" w:rsidRDefault="00EA334B" w:rsidP="00EA334B">
      <w:pPr>
        <w:pStyle w:val="Akapitzlist"/>
        <w:numPr>
          <w:ilvl w:val="0"/>
          <w:numId w:val="1"/>
        </w:numPr>
        <w:jc w:val="both"/>
      </w:pPr>
      <w:r>
        <w:t>Najpierw obliczamy drogę dla znanej części trasy, czyli 0-2, 2-1</w:t>
      </w:r>
    </w:p>
    <w:p w:rsidR="00EA334B" w:rsidRDefault="00707098" w:rsidP="00EA334B">
      <w:pPr>
        <w:pStyle w:val="Akapitzlist"/>
        <w:numPr>
          <w:ilvl w:val="0"/>
          <w:numId w:val="1"/>
        </w:numPr>
        <w:jc w:val="both"/>
      </w:pPr>
      <w:r>
        <w:t>Później obliczamy minimalny koszt od jedynki do wszystkich pozostałych wierzchołków, które nie były jeszcze odwiedzone (nie bierzemy pod uwagę zera, bo nie chcemy, aby pojawiło się za szybko i przedwcześnie zakończyło trasę, gdy nie przeszliśmy jeszcze przez wszystkie wierzchołki). 1-3,1-4,1-8,1-7, 1-6, 1-5.</w:t>
      </w:r>
    </w:p>
    <w:p w:rsidR="00EA334B" w:rsidRDefault="00EA334B" w:rsidP="00EA334B">
      <w:pPr>
        <w:pStyle w:val="Akapitzlist"/>
        <w:jc w:val="both"/>
      </w:pPr>
    </w:p>
    <w:p w:rsidR="00707098" w:rsidRDefault="00707098" w:rsidP="00EA334B">
      <w:pPr>
        <w:pStyle w:val="Akapitzlist"/>
        <w:jc w:val="both"/>
      </w:pPr>
      <w:r>
        <w:t>Klamry nie oznaczają zbioru, ale łączą jednie dwa wierzchołki.</w:t>
      </w:r>
    </w:p>
    <w:p w:rsidR="00EA334B" w:rsidRDefault="00EA334B" w:rsidP="001A71D1">
      <w:pPr>
        <w:jc w:val="both"/>
      </w:pPr>
      <m:oMathPara>
        <m:oMath>
          <m:r>
            <w:rPr>
              <w:rFonts w:ascii="Cambria Math" w:hAnsi="Cambria Math"/>
            </w:rPr>
            <w:lastRenderedPageBreak/>
            <m:t>02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groupChr>
                            <m:groupChrPr>
                              <m:chr m:val="⏞"/>
                              <m:pos m:val="top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groupCh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6</m:t>
                  </m:r>
                </m:e>
              </m:groupChr>
              <m:r>
                <w:rPr>
                  <w:rFonts w:ascii="Cambria Math" w:hAnsi="Cambria Math"/>
                </w:rPr>
                <m:t>5</m:t>
              </m:r>
            </m:e>
          </m:groupChr>
          <m:r>
            <w:rPr>
              <w:rFonts w:ascii="Cambria Math" w:hAnsi="Cambria Math"/>
            </w:rPr>
            <m:t>0</m:t>
          </m:r>
        </m:oMath>
      </m:oMathPara>
    </w:p>
    <w:p w:rsidR="00707098" w:rsidRPr="00707098" w:rsidRDefault="00707098" w:rsidP="00707098">
      <w:pPr>
        <w:pStyle w:val="Akapitzlist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Ostatnia pętla realizuje liczenie minimalnego kosztu od każdego wierzchołka jeszcze nieodwiedzanego. Poniżej przedstawiono tylko pierwszą iterację, dla 3</w:t>
      </w:r>
      <w:r w:rsidR="003D4CF2">
        <w:rPr>
          <w:rFonts w:eastAsiaTheme="minorEastAsia"/>
        </w:rPr>
        <w:t>, ponieważ kolejne wyglądają analogicznie</w:t>
      </w:r>
      <w:r>
        <w:rPr>
          <w:rFonts w:eastAsiaTheme="minorEastAsia"/>
        </w:rPr>
        <w:t>:</w:t>
      </w:r>
    </w:p>
    <w:p w:rsidR="00EA334B" w:rsidRDefault="00EA334B" w:rsidP="001A71D1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02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34</m:t>
                                  </m:r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groupCh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groupChr>
                  <m:r>
                    <w:rPr>
                      <w:rFonts w:ascii="Cambria Math" w:hAnsi="Cambria Math"/>
                    </w:rPr>
                    <m:t>5</m:t>
                  </m:r>
                </m:e>
              </m:groupChr>
              <m:r>
                <w:rPr>
                  <w:rFonts w:ascii="Cambria Math" w:hAnsi="Cambria Math"/>
                </w:rPr>
                <m:t>0</m:t>
              </m:r>
            </m:e>
          </m:groupChr>
        </m:oMath>
      </m:oMathPara>
    </w:p>
    <w:p w:rsidR="003D4CF2" w:rsidRPr="003D4CF2" w:rsidRDefault="003D4CF2" w:rsidP="003D4CF2">
      <w:pPr>
        <w:rPr>
          <w:b/>
          <w:sz w:val="28"/>
        </w:rPr>
      </w:pPr>
      <w:r w:rsidRPr="003D4CF2">
        <w:rPr>
          <w:b/>
          <w:sz w:val="28"/>
        </w:rPr>
        <w:t>Wykresy</w:t>
      </w:r>
    </w:p>
    <w:p w:rsidR="00612080" w:rsidRDefault="00F93CBE" w:rsidP="001A71D1">
      <w:pPr>
        <w:jc w:val="both"/>
      </w:pPr>
      <w:r w:rsidRPr="00F93CBE">
        <w:drawing>
          <wp:inline distT="0" distB="0" distL="0" distR="0">
            <wp:extent cx="5760720" cy="3865419"/>
            <wp:effectExtent l="19050" t="0" r="11430" b="1731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93CBE" w:rsidRDefault="00F93CBE" w:rsidP="003D4CF2">
      <w:pPr>
        <w:jc w:val="center"/>
      </w:pPr>
      <w:r>
        <w:t xml:space="preserve">Wykres </w:t>
      </w:r>
      <w:r w:rsidR="003D4CF2">
        <w:t>1</w:t>
      </w:r>
      <w:r>
        <w:t xml:space="preserve">: Wykres czasowy dla </w:t>
      </w:r>
      <w:proofErr w:type="spellStart"/>
      <w:r>
        <w:t>B&amp;B</w:t>
      </w:r>
      <w:proofErr w:type="spellEnd"/>
      <w:r>
        <w:t xml:space="preserve"> i DP</w:t>
      </w:r>
    </w:p>
    <w:p w:rsidR="00F93CBE" w:rsidRDefault="00F93CBE" w:rsidP="001A71D1">
      <w:pPr>
        <w:jc w:val="both"/>
      </w:pPr>
    </w:p>
    <w:p w:rsidR="00F93CBE" w:rsidRDefault="00F93CBE" w:rsidP="001A71D1">
      <w:pPr>
        <w:jc w:val="both"/>
      </w:pPr>
      <w:r w:rsidRPr="00F93CBE">
        <w:lastRenderedPageBreak/>
        <w:drawing>
          <wp:inline distT="0" distB="0" distL="0" distR="0">
            <wp:extent cx="5760720" cy="3997037"/>
            <wp:effectExtent l="19050" t="0" r="11430" b="3463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24EDD" w:rsidRDefault="00F93CBE" w:rsidP="003D4CF2">
      <w:pPr>
        <w:jc w:val="center"/>
      </w:pPr>
      <w:r>
        <w:t xml:space="preserve">Wykres 2: Wykres logarytmiczny czasowy dla </w:t>
      </w:r>
      <w:proofErr w:type="spellStart"/>
      <w:r>
        <w:t>B&amp;B</w:t>
      </w:r>
      <w:proofErr w:type="spellEnd"/>
      <w:r>
        <w:t xml:space="preserve"> i DP</w:t>
      </w:r>
    </w:p>
    <w:p w:rsidR="00224EDD" w:rsidRDefault="00224EDD">
      <w:r w:rsidRPr="00224EDD">
        <w:drawing>
          <wp:inline distT="0" distB="0" distL="0" distR="0">
            <wp:extent cx="5760720" cy="3969327"/>
            <wp:effectExtent l="19050" t="0" r="11430" b="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4CF2" w:rsidRDefault="003D4CF2" w:rsidP="003D4CF2">
      <w:pPr>
        <w:jc w:val="center"/>
      </w:pPr>
      <w:r>
        <w:t xml:space="preserve">Wykres 3: Wykres logarytmiczny czasowy dla BF, </w:t>
      </w:r>
      <w:proofErr w:type="spellStart"/>
      <w:r>
        <w:t>B&amp;B</w:t>
      </w:r>
      <w:proofErr w:type="spellEnd"/>
      <w:r>
        <w:t xml:space="preserve"> i DP</w:t>
      </w:r>
    </w:p>
    <w:p w:rsidR="003D4CF2" w:rsidRPr="003D4CF2" w:rsidRDefault="003D4CF2" w:rsidP="003D4CF2">
      <w:pPr>
        <w:rPr>
          <w:b/>
          <w:sz w:val="28"/>
        </w:rPr>
      </w:pPr>
      <w:r w:rsidRPr="003D4CF2">
        <w:rPr>
          <w:b/>
          <w:sz w:val="28"/>
        </w:rPr>
        <w:lastRenderedPageBreak/>
        <w:t>Wnioski</w:t>
      </w:r>
    </w:p>
    <w:p w:rsidR="00003932" w:rsidRDefault="003D4CF2" w:rsidP="00003932">
      <w:pPr>
        <w:jc w:val="both"/>
      </w:pPr>
      <w:r>
        <w:t xml:space="preserve">Teraz można zauważyć, że funkcja </w:t>
      </w:r>
      <w:proofErr w:type="spellStart"/>
      <w:r>
        <w:t>B&amp;B</w:t>
      </w:r>
      <w:proofErr w:type="spellEnd"/>
      <w:r>
        <w:t xml:space="preserve"> oraz DP wyglądają bardzo podobnie. </w:t>
      </w:r>
      <w:r w:rsidR="00003932">
        <w:t xml:space="preserve">We wcześniejszych eksperymentach algorytm </w:t>
      </w:r>
      <w:proofErr w:type="spellStart"/>
      <w:r w:rsidR="00003932">
        <w:t>B&amp;B</w:t>
      </w:r>
      <w:proofErr w:type="spellEnd"/>
      <w:r w:rsidR="00003932">
        <w:t xml:space="preserve"> był zaprojektowany nieefektywnie. Jeśli chodzi o tę implementację </w:t>
      </w:r>
      <w:proofErr w:type="spellStart"/>
      <w:r w:rsidR="00003932">
        <w:t>Branch</w:t>
      </w:r>
      <w:proofErr w:type="spellEnd"/>
      <w:r w:rsidR="00003932">
        <w:t xml:space="preserve"> and </w:t>
      </w:r>
      <w:proofErr w:type="spellStart"/>
      <w:r w:rsidR="00003932">
        <w:t>Bound</w:t>
      </w:r>
      <w:proofErr w:type="spellEnd"/>
      <w:r w:rsidR="00003932">
        <w:t xml:space="preserve"> (klasa </w:t>
      </w:r>
      <w:proofErr w:type="spellStart"/>
      <w:r w:rsidR="00003932">
        <w:t>TSP_Branch</w:t>
      </w:r>
      <w:proofErr w:type="spellEnd"/>
      <w:r w:rsidR="00003932">
        <w:t xml:space="preserve">), w zależności od optymalizacji funkcji, można było uzyskać nieco inne wyniki – różniące się od minuty po kilkanaście. Najmniej optymalną opcją było zrobienie tablicy </w:t>
      </w:r>
      <w:proofErr w:type="spellStart"/>
      <w:r w:rsidR="00003932">
        <w:t>visited</w:t>
      </w:r>
      <w:proofErr w:type="spellEnd"/>
      <w:r w:rsidR="00003932">
        <w:t xml:space="preserve">, która z założenia miała mieścić w sobie indeksy odwiedzonych wierzchołków – wystarczyło jednak zauważyć, że nieodwiedzone wierzchołki są na prawo od step i przeszukiwać nie całą, lecz część macierzy, poczynając od step. </w:t>
      </w:r>
    </w:p>
    <w:p w:rsidR="003D4CF2" w:rsidRDefault="00003932" w:rsidP="00003932">
      <w:pPr>
        <w:jc w:val="both"/>
      </w:pPr>
      <w:r>
        <w:t>Na początku napisałam funkcję ograniczającą korzystającą z dwóch pętli for – czas przeszukania dla macierzy 17 wierzchołków wynosił ok. 2 minut (</w:t>
      </w:r>
      <w:proofErr w:type="spellStart"/>
      <w:r>
        <w:t>zakomentowany</w:t>
      </w:r>
      <w:proofErr w:type="spellEnd"/>
      <w:r>
        <w:t xml:space="preserve"> kod). Później po próbach optymalizacji i napisaniu 3 pętli for, udało mi się uzyskać wartość ok. 1 minuty dla tej samej macierzy.</w:t>
      </w:r>
    </w:p>
    <w:p w:rsidR="00003932" w:rsidRDefault="00003932" w:rsidP="00003932">
      <w:pPr>
        <w:jc w:val="both"/>
      </w:pPr>
    </w:p>
    <w:p w:rsidR="00003932" w:rsidRDefault="00003932" w:rsidP="00003932">
      <w:pPr>
        <w:jc w:val="both"/>
      </w:pPr>
      <w:r>
        <w:t>Macierz dla 17 wierzchołków:</w:t>
      </w:r>
    </w:p>
    <w:p w:rsidR="00003932" w:rsidRDefault="00465FC9" w:rsidP="00003932">
      <w:pPr>
        <w:jc w:val="both"/>
      </w:pPr>
      <w:hyperlink r:id="rId8" w:history="1">
        <w:r w:rsidRPr="004C4119">
          <w:rPr>
            <w:rStyle w:val="Hipercze"/>
          </w:rPr>
          <w:t>http://jaroslaw.mierzwa.staff.iiar.pwr.wroc.pl/pea-stud/tsp/tsp_17.txt</w:t>
        </w:r>
      </w:hyperlink>
    </w:p>
    <w:p w:rsidR="00465FC9" w:rsidRDefault="00465FC9" w:rsidP="00003932">
      <w:pPr>
        <w:jc w:val="both"/>
      </w:pPr>
      <w:r>
        <w:t>[dostęp dnia 19.11]</w:t>
      </w:r>
    </w:p>
    <w:sectPr w:rsidR="00465FC9" w:rsidSect="008A4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41C3E"/>
    <w:multiLevelType w:val="hybridMultilevel"/>
    <w:tmpl w:val="4F7228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16A68"/>
    <w:multiLevelType w:val="hybridMultilevel"/>
    <w:tmpl w:val="A594B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00FEB"/>
    <w:rsid w:val="00003932"/>
    <w:rsid w:val="00177079"/>
    <w:rsid w:val="001A71D1"/>
    <w:rsid w:val="00224EDD"/>
    <w:rsid w:val="003D4CF2"/>
    <w:rsid w:val="00465FC9"/>
    <w:rsid w:val="00612080"/>
    <w:rsid w:val="00707098"/>
    <w:rsid w:val="008A4CB8"/>
    <w:rsid w:val="00C043DD"/>
    <w:rsid w:val="00D00FEB"/>
    <w:rsid w:val="00D2784C"/>
    <w:rsid w:val="00EA334B"/>
    <w:rsid w:val="00F212A1"/>
    <w:rsid w:val="00F93CBE"/>
    <w:rsid w:val="00FA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C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3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3CB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A334B"/>
    <w:rPr>
      <w:color w:val="808080"/>
    </w:rPr>
  </w:style>
  <w:style w:type="paragraph" w:styleId="Akapitzlist">
    <w:name w:val="List Paragraph"/>
    <w:basedOn w:val="Normalny"/>
    <w:uiPriority w:val="34"/>
    <w:qFormat/>
    <w:rsid w:val="00EA334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65F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roslaw.mierzwa.staff.iiar.pwr.wroc.pl/pea-stud/tsp/tsp_17.txt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esktop\Studia\5%20sem\pea\pea1_wykres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esktop\Studia\5%20sem\pea\pea1_wykres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ella\Desktop\Studia\5%20sem\pea\pea1_wykres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Wykresy czasowe dla B&amp;B i DP</a:t>
            </a:r>
          </a:p>
        </c:rich>
      </c:tx>
      <c:overlay val="1"/>
    </c:title>
    <c:plotArea>
      <c:layout/>
      <c:lineChart>
        <c:grouping val="standard"/>
        <c:ser>
          <c:idx val="1"/>
          <c:order val="0"/>
          <c:tx>
            <c:v>B&amp;B</c:v>
          </c:tx>
          <c:marker>
            <c:symbol val="none"/>
          </c:marker>
          <c:cat>
            <c:numRef>
              <c:f>Arkusz2!$B$2:$N$2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17</c:v>
                </c:pt>
              </c:numCache>
            </c:numRef>
          </c:cat>
          <c:val>
            <c:numRef>
              <c:f>Arkusz2!$B$3:$N$3</c:f>
              <c:numCache>
                <c:formatCode>General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16</c:v>
                </c:pt>
                <c:pt idx="4">
                  <c:v>37</c:v>
                </c:pt>
                <c:pt idx="5">
                  <c:v>80</c:v>
                </c:pt>
                <c:pt idx="6">
                  <c:v>185</c:v>
                </c:pt>
                <c:pt idx="7">
                  <c:v>521</c:v>
                </c:pt>
                <c:pt idx="8">
                  <c:v>1183</c:v>
                </c:pt>
                <c:pt idx="9">
                  <c:v>3185</c:v>
                </c:pt>
                <c:pt idx="10">
                  <c:v>6771</c:v>
                </c:pt>
                <c:pt idx="11">
                  <c:v>44616</c:v>
                </c:pt>
                <c:pt idx="12">
                  <c:v>368068</c:v>
                </c:pt>
              </c:numCache>
            </c:numRef>
          </c:val>
        </c:ser>
        <c:ser>
          <c:idx val="2"/>
          <c:order val="1"/>
          <c:tx>
            <c:v>DP</c:v>
          </c:tx>
          <c:marker>
            <c:symbol val="none"/>
          </c:marker>
          <c:cat>
            <c:numRef>
              <c:f>Arkusz2!$B$2:$N$2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17</c:v>
                </c:pt>
              </c:numCache>
            </c:numRef>
          </c:cat>
          <c:val>
            <c:numRef>
              <c:f>Arkusz2!$B$11:$N$11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34</c:v>
                </c:pt>
                <c:pt idx="5">
                  <c:v>65</c:v>
                </c:pt>
                <c:pt idx="6">
                  <c:v>172</c:v>
                </c:pt>
                <c:pt idx="7">
                  <c:v>442</c:v>
                </c:pt>
                <c:pt idx="8">
                  <c:v>1274</c:v>
                </c:pt>
                <c:pt idx="9">
                  <c:v>2901</c:v>
                </c:pt>
                <c:pt idx="10">
                  <c:v>7812</c:v>
                </c:pt>
                <c:pt idx="11">
                  <c:v>47528</c:v>
                </c:pt>
                <c:pt idx="12">
                  <c:v>310618</c:v>
                </c:pt>
              </c:numCache>
            </c:numRef>
          </c:val>
        </c:ser>
        <c:dropLines>
          <c:spPr>
            <a:ln>
              <a:solidFill>
                <a:srgbClr val="4F81BD">
                  <a:alpha val="79000"/>
                </a:srgbClr>
              </a:solidFill>
            </a:ln>
          </c:spPr>
        </c:dropLines>
        <c:marker val="1"/>
        <c:axId val="75026816"/>
        <c:axId val="75029120"/>
      </c:lineChart>
      <c:catAx>
        <c:axId val="750268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wierzchołków w grafie</a:t>
                </a:r>
              </a:p>
            </c:rich>
          </c:tx>
        </c:title>
        <c:numFmt formatCode="General" sourceLinked="1"/>
        <c:tickLblPos val="nextTo"/>
        <c:crossAx val="75029120"/>
        <c:crosses val="autoZero"/>
        <c:auto val="1"/>
        <c:lblAlgn val="ctr"/>
        <c:lblOffset val="100"/>
      </c:catAx>
      <c:valAx>
        <c:axId val="750291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[us]</a:t>
                </a:r>
              </a:p>
            </c:rich>
          </c:tx>
        </c:title>
        <c:numFmt formatCode="General" sourceLinked="1"/>
        <c:tickLblPos val="nextTo"/>
        <c:crossAx val="750268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Wykresy czasowe dla B&amp;B i DP</a:t>
            </a:r>
          </a:p>
        </c:rich>
      </c:tx>
      <c:overlay val="1"/>
    </c:title>
    <c:plotArea>
      <c:layout/>
      <c:lineChart>
        <c:grouping val="standard"/>
        <c:ser>
          <c:idx val="1"/>
          <c:order val="0"/>
          <c:tx>
            <c:v>B&amp;B</c:v>
          </c:tx>
          <c:marker>
            <c:symbol val="circle"/>
            <c:size val="3"/>
          </c:marker>
          <c:cat>
            <c:numRef>
              <c:f>Arkusz2!$B$2:$N$2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17</c:v>
                </c:pt>
              </c:numCache>
            </c:numRef>
          </c:cat>
          <c:val>
            <c:numRef>
              <c:f>Arkusz2!$B$3:$N$3</c:f>
              <c:numCache>
                <c:formatCode>General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16</c:v>
                </c:pt>
                <c:pt idx="4">
                  <c:v>37</c:v>
                </c:pt>
                <c:pt idx="5">
                  <c:v>80</c:v>
                </c:pt>
                <c:pt idx="6">
                  <c:v>185</c:v>
                </c:pt>
                <c:pt idx="7">
                  <c:v>521</c:v>
                </c:pt>
                <c:pt idx="8">
                  <c:v>1183</c:v>
                </c:pt>
                <c:pt idx="9">
                  <c:v>3185</c:v>
                </c:pt>
                <c:pt idx="10">
                  <c:v>6771</c:v>
                </c:pt>
                <c:pt idx="11">
                  <c:v>44616</c:v>
                </c:pt>
                <c:pt idx="12">
                  <c:v>368068</c:v>
                </c:pt>
              </c:numCache>
            </c:numRef>
          </c:val>
        </c:ser>
        <c:ser>
          <c:idx val="2"/>
          <c:order val="1"/>
          <c:tx>
            <c:v>DP</c:v>
          </c:tx>
          <c:marker>
            <c:symbol val="square"/>
            <c:size val="2"/>
          </c:marker>
          <c:cat>
            <c:numRef>
              <c:f>Arkusz2!$B$2:$N$2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15</c:v>
                </c:pt>
                <c:pt idx="12">
                  <c:v>17</c:v>
                </c:pt>
              </c:numCache>
            </c:numRef>
          </c:cat>
          <c:val>
            <c:numRef>
              <c:f>Arkusz2!$B$11:$N$11</c:f>
              <c:numCache>
                <c:formatCode>General</c:formatCode>
                <c:ptCount val="13"/>
                <c:pt idx="0">
                  <c:v>8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34</c:v>
                </c:pt>
                <c:pt idx="5">
                  <c:v>65</c:v>
                </c:pt>
                <c:pt idx="6">
                  <c:v>172</c:v>
                </c:pt>
                <c:pt idx="7">
                  <c:v>442</c:v>
                </c:pt>
                <c:pt idx="8">
                  <c:v>1274</c:v>
                </c:pt>
                <c:pt idx="9">
                  <c:v>2901</c:v>
                </c:pt>
                <c:pt idx="10">
                  <c:v>7812</c:v>
                </c:pt>
                <c:pt idx="11">
                  <c:v>47528</c:v>
                </c:pt>
                <c:pt idx="12">
                  <c:v>310618</c:v>
                </c:pt>
              </c:numCache>
            </c:numRef>
          </c:val>
        </c:ser>
        <c:dropLines>
          <c:spPr>
            <a:ln>
              <a:solidFill>
                <a:srgbClr val="4F81BD">
                  <a:alpha val="79000"/>
                </a:srgbClr>
              </a:solidFill>
            </a:ln>
          </c:spPr>
        </c:dropLines>
        <c:marker val="1"/>
        <c:axId val="76950144"/>
        <c:axId val="76968704"/>
      </c:lineChart>
      <c:catAx>
        <c:axId val="769501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 wierzchołków w grafie</a:t>
                </a:r>
              </a:p>
            </c:rich>
          </c:tx>
        </c:title>
        <c:numFmt formatCode="General" sourceLinked="1"/>
        <c:tickLblPos val="nextTo"/>
        <c:crossAx val="76968704"/>
        <c:crosses val="autoZero"/>
        <c:auto val="1"/>
        <c:lblAlgn val="ctr"/>
        <c:lblOffset val="100"/>
      </c:catAx>
      <c:valAx>
        <c:axId val="76968704"/>
        <c:scaling>
          <c:logBase val="10"/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czas [us]</a:t>
                </a:r>
              </a:p>
            </c:rich>
          </c:tx>
        </c:title>
        <c:numFmt formatCode="General" sourceLinked="1"/>
        <c:tickLblPos val="nextTo"/>
        <c:crossAx val="769501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Wykresy</a:t>
            </a:r>
            <a:r>
              <a:rPr lang="pl-PL" baseline="0"/>
              <a:t> czasowe dla BF, B&amp;B i DP</a:t>
            </a:r>
            <a:endParaRPr lang="pl-PL"/>
          </a:p>
        </c:rich>
      </c:tx>
      <c:overlay val="1"/>
    </c:title>
    <c:plotArea>
      <c:layout>
        <c:manualLayout>
          <c:layoutTarget val="inner"/>
          <c:xMode val="edge"/>
          <c:yMode val="edge"/>
          <c:x val="8.0943168235879298E-2"/>
          <c:y val="1.3691549193261758E-2"/>
          <c:w val="0.81903633478815907"/>
          <c:h val="0.81508669771299702"/>
        </c:manualLayout>
      </c:layout>
      <c:lineChart>
        <c:grouping val="standard"/>
        <c:ser>
          <c:idx val="1"/>
          <c:order val="0"/>
          <c:tx>
            <c:v>B&amp;B</c:v>
          </c:tx>
          <c:marker>
            <c:symbol val="none"/>
          </c:marker>
          <c:cat>
            <c:numRef>
              <c:f>Arkusz2!$B$2:$L$2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cat>
          <c:val>
            <c:numRef>
              <c:f>Arkusz2!$B$3:$L$3</c:f>
              <c:numCache>
                <c:formatCode>General</c:formatCode>
                <c:ptCount val="11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16</c:v>
                </c:pt>
                <c:pt idx="4">
                  <c:v>37</c:v>
                </c:pt>
                <c:pt idx="5">
                  <c:v>80</c:v>
                </c:pt>
                <c:pt idx="6">
                  <c:v>185</c:v>
                </c:pt>
                <c:pt idx="7">
                  <c:v>521</c:v>
                </c:pt>
                <c:pt idx="8">
                  <c:v>1183</c:v>
                </c:pt>
                <c:pt idx="9">
                  <c:v>3185</c:v>
                </c:pt>
                <c:pt idx="10">
                  <c:v>6771</c:v>
                </c:pt>
              </c:numCache>
            </c:numRef>
          </c:val>
        </c:ser>
        <c:ser>
          <c:idx val="0"/>
          <c:order val="1"/>
          <c:tx>
            <c:v>BF</c:v>
          </c:tx>
          <c:marker>
            <c:symbol val="none"/>
          </c:marker>
          <c:val>
            <c:numRef>
              <c:f>Arkusz2!$B$7:$L$7</c:f>
              <c:numCache>
                <c:formatCode>General</c:formatCode>
                <c:ptCount val="11"/>
                <c:pt idx="0">
                  <c:v>5</c:v>
                </c:pt>
                <c:pt idx="1">
                  <c:v>8</c:v>
                </c:pt>
                <c:pt idx="2">
                  <c:v>10</c:v>
                </c:pt>
                <c:pt idx="3">
                  <c:v>31</c:v>
                </c:pt>
                <c:pt idx="4">
                  <c:v>219</c:v>
                </c:pt>
                <c:pt idx="5">
                  <c:v>1756</c:v>
                </c:pt>
                <c:pt idx="6">
                  <c:v>15210</c:v>
                </c:pt>
                <c:pt idx="7">
                  <c:v>142562</c:v>
                </c:pt>
                <c:pt idx="8">
                  <c:v>1652701</c:v>
                </c:pt>
                <c:pt idx="9">
                  <c:v>20721211</c:v>
                </c:pt>
                <c:pt idx="10">
                  <c:v>124820000</c:v>
                </c:pt>
              </c:numCache>
            </c:numRef>
          </c:val>
        </c:ser>
        <c:ser>
          <c:idx val="2"/>
          <c:order val="2"/>
          <c:tx>
            <c:v>DP</c:v>
          </c:tx>
          <c:marker>
            <c:symbol val="none"/>
          </c:marker>
          <c:val>
            <c:numRef>
              <c:f>Arkusz2!$B$11:$L$11</c:f>
              <c:numCache>
                <c:formatCode>General</c:formatCode>
                <c:ptCount val="11"/>
                <c:pt idx="0">
                  <c:v>8</c:v>
                </c:pt>
                <c:pt idx="1">
                  <c:v>8</c:v>
                </c:pt>
                <c:pt idx="2">
                  <c:v>12</c:v>
                </c:pt>
                <c:pt idx="3">
                  <c:v>19</c:v>
                </c:pt>
                <c:pt idx="4">
                  <c:v>34</c:v>
                </c:pt>
                <c:pt idx="5">
                  <c:v>65</c:v>
                </c:pt>
                <c:pt idx="6">
                  <c:v>172</c:v>
                </c:pt>
                <c:pt idx="7">
                  <c:v>442</c:v>
                </c:pt>
                <c:pt idx="8">
                  <c:v>1274</c:v>
                </c:pt>
                <c:pt idx="9">
                  <c:v>2901</c:v>
                </c:pt>
                <c:pt idx="10">
                  <c:v>7812</c:v>
                </c:pt>
              </c:numCache>
            </c:numRef>
          </c:val>
        </c:ser>
        <c:marker val="1"/>
        <c:axId val="77141888"/>
        <c:axId val="77153408"/>
      </c:lineChart>
      <c:catAx>
        <c:axId val="77141888"/>
        <c:scaling>
          <c:orientation val="minMax"/>
        </c:scaling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1" i="0" baseline="0"/>
                  <a:t>Liczba wierzchołków w grafie</a:t>
                </a:r>
                <a:endParaRPr lang="pl-PL" sz="200"/>
              </a:p>
            </c:rich>
          </c:tx>
          <c:layout>
            <c:manualLayout>
              <c:xMode val="edge"/>
              <c:yMode val="edge"/>
              <c:x val="0.42695826216167437"/>
              <c:y val="0.88866313814062869"/>
            </c:manualLayout>
          </c:layout>
        </c:title>
        <c:numFmt formatCode="General" sourceLinked="1"/>
        <c:tickLblPos val="nextTo"/>
        <c:crossAx val="77153408"/>
        <c:crosses val="autoZero"/>
        <c:auto val="1"/>
        <c:lblAlgn val="ctr"/>
        <c:lblOffset val="100"/>
      </c:catAx>
      <c:valAx>
        <c:axId val="77153408"/>
        <c:scaling>
          <c:logBase val="10"/>
          <c:orientation val="minMax"/>
          <c:max val="140000000"/>
          <c:min val="4"/>
        </c:scaling>
        <c:axPos val="l"/>
        <c:majorGridlines/>
        <c:title>
          <c:tx>
            <c:rich>
              <a:bodyPr rot="-5400000" vert="horz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 i="0" baseline="0"/>
                  <a:t>czas [us]</a:t>
                </a:r>
                <a:endParaRPr lang="pl-PL" sz="70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l-PL" sz="700"/>
              </a:p>
            </c:rich>
          </c:tx>
        </c:title>
        <c:numFmt formatCode="General" sourceLinked="1"/>
        <c:tickLblPos val="nextTo"/>
        <c:crossAx val="77141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8381834215167554"/>
          <c:y val="0.19691081617005959"/>
          <c:w val="0.10515873015873016"/>
          <c:h val="0.1887210933436109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562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Paradise von Heaven</dc:creator>
  <cp:lastModifiedBy>Paradise von Heaven</cp:lastModifiedBy>
  <cp:revision>4</cp:revision>
  <dcterms:created xsi:type="dcterms:W3CDTF">2018-11-19T10:59:00Z</dcterms:created>
  <dcterms:modified xsi:type="dcterms:W3CDTF">2018-11-19T18:51:00Z</dcterms:modified>
</cp:coreProperties>
</file>