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E2E66A" w14:textId="614A173C" w:rsidR="007E052B" w:rsidRPr="00FC6AFF" w:rsidRDefault="007E052B">
      <w:r>
        <w:t xml:space="preserve">esta obra denota la conciencia de la necesidad de renovar los métodos tradicionales de </w:t>
      </w:r>
      <w:r w:rsidR="00C253BD">
        <w:t xml:space="preserve">la </w:t>
      </w:r>
      <w:r>
        <w:t>enseña</w:t>
      </w:r>
      <w:r w:rsidR="00C253BD">
        <w:t>nza</w:t>
      </w:r>
      <w:r>
        <w:t xml:space="preserve"> de la lengua latina</w:t>
      </w:r>
      <w:r w:rsidR="007C7642">
        <w:t>, así como una serie de ideales (im</w:t>
      </w:r>
      <w:r w:rsidR="00505F55">
        <w:t>portancia de la eloc</w:t>
      </w:r>
      <w:r w:rsidR="007C7642">
        <w:t>uencia, el valor de la lectura directa de los clásicos, la preocupación por el buen dominio del latín, la mejora de las técnicas didácticas, etc.) claramente influenciados por el Humanismo europeo</w:t>
      </w:r>
    </w:p>
    <w:p w14:paraId="0A435244" w14:textId="7EA00617" w:rsidR="008F7F8B" w:rsidRDefault="008F7F8B">
      <w:r>
        <w:t>pp. XI-CLXXV: introducción extensa y detallada</w:t>
      </w:r>
    </w:p>
    <w:p w14:paraId="0162CA6E" w14:textId="77777777" w:rsidR="00D0512A" w:rsidRDefault="00D0512A">
      <w:r>
        <w:t xml:space="preserve">entre las páginas XVI y XVII encontramos una lámina con imágenes del </w:t>
      </w:r>
      <w:r>
        <w:rPr>
          <w:i/>
        </w:rPr>
        <w:t xml:space="preserve">signum </w:t>
      </w:r>
      <w:r>
        <w:t>autógrafo de Joan Esteve.</w:t>
      </w:r>
    </w:p>
    <w:p w14:paraId="1320E5B5" w14:textId="4D5CE6FC" w:rsidR="00641C4E" w:rsidRDefault="00641C4E" w:rsidP="00641C4E">
      <w:pPr>
        <w:jc w:val="both"/>
      </w:pPr>
      <w:r>
        <w:t xml:space="preserve">pp. XVII-XXXIX: el </w:t>
      </w:r>
      <w:r>
        <w:rPr>
          <w:i/>
        </w:rPr>
        <w:t xml:space="preserve">Liber elegantiarum </w:t>
      </w:r>
      <w:r>
        <w:t>como incunable (aspectos materiales, edición e impresión)</w:t>
      </w:r>
    </w:p>
    <w:p w14:paraId="45FC90B0" w14:textId="0F76BBB8" w:rsidR="00D0512A" w:rsidRPr="00D0512A" w:rsidRDefault="00D0512A">
      <w:r>
        <w:t>El incunable de la obra fue publicado en V</w:t>
      </w:r>
      <w:r w:rsidR="004151DD">
        <w:t>enec</w:t>
      </w:r>
      <w:r>
        <w:t xml:space="preserve">ia en 1489; hasta hoy se han podido identificar 8 copias conservadas </w:t>
      </w:r>
      <w:r w:rsidR="0029070D">
        <w:t>en archivos y bibliotecas</w:t>
      </w:r>
      <w:r w:rsidR="009653C9">
        <w:t xml:space="preserve"> (descripción catalográfica pp. XVII-XXII)</w:t>
      </w:r>
    </w:p>
    <w:p w14:paraId="054788A8" w14:textId="77777777" w:rsidR="00D5384A" w:rsidRDefault="00FA6117">
      <w:r>
        <w:t>la descripción de las copias se basa en la que se encuentra en la Biblioteca Històrica de la Universitat de València</w:t>
      </w:r>
    </w:p>
    <w:p w14:paraId="0F4EDB79" w14:textId="186D5346" w:rsidR="00B10893" w:rsidRDefault="00B10893">
      <w:r>
        <w:t>pp. XXIII-XXVI: descripción del texto y comparación de las copias</w:t>
      </w:r>
    </w:p>
    <w:p w14:paraId="352063F8" w14:textId="28BE91B1" w:rsidR="00B10893" w:rsidRDefault="00DA16FC">
      <w:r>
        <w:t>todas las copias comparten las mismas características externas básicas</w:t>
      </w:r>
      <w:r w:rsidR="00F7686E">
        <w:t>, tanto físicas como tipográficas</w:t>
      </w:r>
      <w:r w:rsidR="009D1C57">
        <w:t>; la mayoría de diferencias entre las copias proceden de incidentes posteriores a la impresión</w:t>
      </w:r>
    </w:p>
    <w:p w14:paraId="1F99CE21" w14:textId="57C1955E" w:rsidR="00284598" w:rsidRDefault="00284598">
      <w:r>
        <w:t xml:space="preserve">p. XXV: diferencias textuales entre las copias </w:t>
      </w:r>
      <w:r>
        <w:sym w:font="Wingdings" w:char="F0E0"/>
      </w:r>
      <w:r>
        <w:t xml:space="preserve"> clasificación por grupos</w:t>
      </w:r>
      <w:r w:rsidR="00A274D3">
        <w:t xml:space="preserve"> (pp. XXV-XXVI)</w:t>
      </w:r>
    </w:p>
    <w:p w14:paraId="6BE17A1E" w14:textId="64D8B29A" w:rsidR="00D4337C" w:rsidRDefault="00D4337C">
      <w:pPr>
        <w:rPr>
          <w:i/>
        </w:rPr>
      </w:pPr>
      <w:r>
        <w:t xml:space="preserve">pp. </w:t>
      </w:r>
      <w:r w:rsidR="00BF27C3">
        <w:t>XXVII</w:t>
      </w:r>
      <w:r>
        <w:t>-</w:t>
      </w:r>
      <w:r w:rsidR="00BF27C3">
        <w:t>XXXIX</w:t>
      </w:r>
      <w:r>
        <w:t xml:space="preserve">: edición e impresión del </w:t>
      </w:r>
      <w:r>
        <w:rPr>
          <w:i/>
        </w:rPr>
        <w:t>Liber elegantiarum</w:t>
      </w:r>
    </w:p>
    <w:p w14:paraId="2F4FA49F" w14:textId="092C2720" w:rsidR="00BF1689" w:rsidRDefault="002F00FF">
      <w:r>
        <w:t xml:space="preserve">justifica el hecho de que el </w:t>
      </w:r>
      <w:r>
        <w:rPr>
          <w:i/>
        </w:rPr>
        <w:t xml:space="preserve">Liber </w:t>
      </w:r>
      <w:r>
        <w:t>y otras obras valencianas se imprimieran en Venecia (pp. XXIX-XXXI)</w:t>
      </w:r>
    </w:p>
    <w:p w14:paraId="545D0FA7" w14:textId="0F905D63" w:rsidR="00170A35" w:rsidRDefault="002E3CE9">
      <w:r>
        <w:t>pp. XL-LIV: El autor y su época</w:t>
      </w:r>
    </w:p>
    <w:p w14:paraId="564036AD" w14:textId="41A3C2E2" w:rsidR="00A05A31" w:rsidRDefault="00E24D80">
      <w:r>
        <w:t>notario al servicio del capítulo de la catedral de Valencia; producción documental de carácter diverso entre los años 1455 y 1487</w:t>
      </w:r>
      <w:r w:rsidR="00FB0AD1">
        <w:t>, conservada mayormente en el Archivo de la Catedral de Valencia</w:t>
      </w:r>
    </w:p>
    <w:p w14:paraId="357AC351" w14:textId="227F20C5" w:rsidR="00FB0AD1" w:rsidRPr="00B24F85" w:rsidRDefault="00FB0AD1">
      <w:r>
        <w:t xml:space="preserve">encontramos un Joan Esteve </w:t>
      </w:r>
      <w:r w:rsidR="00C35051">
        <w:t xml:space="preserve">que en 1448 ingresa como notario </w:t>
      </w:r>
      <w:r>
        <w:t>en la escribanía de la cancillería real del rey Alfonso el Magnánimo (Alfonso V de Aragón, III de Valencia)</w:t>
      </w:r>
      <w:r w:rsidR="0050262B">
        <w:t xml:space="preserve">; el editor lo identifica con el autor del </w:t>
      </w:r>
      <w:r w:rsidR="0050262B">
        <w:rPr>
          <w:i/>
        </w:rPr>
        <w:t>Liber</w:t>
      </w:r>
      <w:r w:rsidR="0050262B">
        <w:t>, y lo sitúa en la esfera de la corte real en Nápoles</w:t>
      </w:r>
      <w:r w:rsidR="0093161A">
        <w:t xml:space="preserve"> (es</w:t>
      </w:r>
      <w:r w:rsidR="00D543C4">
        <w:t xml:space="preserve"> posible que con anterioridad a</w:t>
      </w:r>
      <w:r w:rsidR="0093161A">
        <w:t xml:space="preserve"> 1448 ya perteneciera a la </w:t>
      </w:r>
      <w:r w:rsidR="0093161A">
        <w:rPr>
          <w:i/>
        </w:rPr>
        <w:t>regia scribania</w:t>
      </w:r>
      <w:r w:rsidR="0093161A">
        <w:t xml:space="preserve"> ocupando algún cargo inferior)</w:t>
      </w:r>
      <w:r w:rsidR="0050262B">
        <w:t>.</w:t>
      </w:r>
      <w:r w:rsidR="00B24F85">
        <w:t xml:space="preserve"> el editor lo identifica también con un Joan Esteve nominado </w:t>
      </w:r>
      <w:r w:rsidR="00B24F85">
        <w:rPr>
          <w:i/>
        </w:rPr>
        <w:t>credencerius ordinarius</w:t>
      </w:r>
      <w:r w:rsidR="00B24F85">
        <w:t xml:space="preserve"> (contable y administrador económico) en Nápoles en 1442</w:t>
      </w:r>
    </w:p>
    <w:p w14:paraId="735BF141" w14:textId="18335C1D" w:rsidR="00C35051" w:rsidRDefault="00C35051">
      <w:r>
        <w:t>en la corte del magnánimo habría tenido contacto con Lorenzo Valla; otras figuras destacadas del humanismo italiano ocuparon cargos en la corte (Girolamo Guarini, Bartolomeo Facio, Gioviano Pontano)</w:t>
      </w:r>
    </w:p>
    <w:p w14:paraId="0218E51C" w14:textId="7A321904" w:rsidR="00B24F85" w:rsidRDefault="00B24F85">
      <w:r w:rsidRPr="0003535E">
        <w:rPr>
          <w:i/>
        </w:rPr>
        <w:t xml:space="preserve">credencerius </w:t>
      </w:r>
      <w:r>
        <w:t xml:space="preserve">(1442), notario (1448), </w:t>
      </w:r>
      <w:r w:rsidR="0003535E">
        <w:t xml:space="preserve">notario Catedral de Valencia (1455), </w:t>
      </w:r>
      <w:r>
        <w:t xml:space="preserve">autor del </w:t>
      </w:r>
      <w:r>
        <w:rPr>
          <w:i/>
        </w:rPr>
        <w:t>Liber</w:t>
      </w:r>
      <w:r>
        <w:t xml:space="preserve"> = misma persona</w:t>
      </w:r>
    </w:p>
    <w:p w14:paraId="21326736" w14:textId="6F74AF02" w:rsidR="00B24F85" w:rsidRDefault="00F50727">
      <w:r>
        <w:t>Esteve también formaba parte del Colegio de Notarios de Valencia</w:t>
      </w:r>
    </w:p>
    <w:p w14:paraId="06185B56" w14:textId="36A8EDF0" w:rsidR="00F50727" w:rsidRDefault="00F50727">
      <w:r>
        <w:t xml:space="preserve">pp. L-LIV: </w:t>
      </w:r>
      <w:r w:rsidR="00520BED">
        <w:t>Joan Esteve el notario y su tiempo</w:t>
      </w:r>
    </w:p>
    <w:p w14:paraId="3BE40BE4" w14:textId="4B876E3E" w:rsidR="00520BED" w:rsidRDefault="00D51175">
      <w:r>
        <w:t xml:space="preserve">formación gramatical y jurídica en las notarías, papel central de la escritura en las tareas diarias </w:t>
      </w:r>
      <w:r>
        <w:sym w:font="Wingdings" w:char="F0E0"/>
      </w:r>
      <w:r>
        <w:t xml:space="preserve"> los notarios constituían un grupo especialmente sensible a las innovaciones culturales; además, su estrecha relación con los círculos de poder económico y político hacía de los notarios uno de los grupos más influentes</w:t>
      </w:r>
      <w:r w:rsidR="00356220">
        <w:t>, especialmente a la hora de adoptar cambios ideológicos y sociales</w:t>
      </w:r>
    </w:p>
    <w:p w14:paraId="30CE32AC" w14:textId="3AEBE9E6" w:rsidR="0064625C" w:rsidRDefault="0064625C">
      <w:r>
        <w:lastRenderedPageBreak/>
        <w:t>Reino de Valencia: peso importante de los notarios en la cultura local</w:t>
      </w:r>
      <w:r w:rsidR="00AE7C59">
        <w:t xml:space="preserve">, puesto que en la baja edad mediana la ciudad de Valencia estaba políticamente regida por la burguesía, por los </w:t>
      </w:r>
      <w:r w:rsidR="00AE7C59">
        <w:rPr>
          <w:i/>
        </w:rPr>
        <w:t>cives</w:t>
      </w:r>
      <w:r w:rsidR="00AE7C59">
        <w:t>, ciudadanos influentes y bien situados socia</w:t>
      </w:r>
      <w:r w:rsidR="003D4971">
        <w:t>l</w:t>
      </w:r>
      <w:r w:rsidR="00AE7C59">
        <w:t>mente</w:t>
      </w:r>
    </w:p>
    <w:p w14:paraId="3C62527F" w14:textId="1F0B877D" w:rsidR="008F7F8B" w:rsidRPr="0019104C" w:rsidRDefault="008F7F8B">
      <w:pPr>
        <w:rPr>
          <w:i/>
        </w:rPr>
      </w:pPr>
      <w:r>
        <w:t>pp. LV-CXL</w:t>
      </w:r>
      <w:r w:rsidR="0019104C">
        <w:t xml:space="preserve">: composición y fuentes del </w:t>
      </w:r>
      <w:r w:rsidR="0019104C">
        <w:rPr>
          <w:i/>
        </w:rPr>
        <w:t>Liber</w:t>
      </w:r>
    </w:p>
    <w:p w14:paraId="1A9794A4" w14:textId="1B3B834A" w:rsidR="00DC1793" w:rsidRDefault="00DC1793"/>
    <w:p w14:paraId="2303B139" w14:textId="270760AF" w:rsidR="008F7F8B" w:rsidRDefault="008F7F8B">
      <w:pPr>
        <w:rPr>
          <w:i/>
        </w:rPr>
      </w:pPr>
      <w:r>
        <w:t xml:space="preserve">pp. CXLI-CLXI: técnica lexicográfica en el </w:t>
      </w:r>
      <w:r>
        <w:rPr>
          <w:i/>
        </w:rPr>
        <w:t>Liber</w:t>
      </w:r>
    </w:p>
    <w:p w14:paraId="2F165F85" w14:textId="60F94044" w:rsidR="00876846" w:rsidRDefault="00876846">
      <w:r>
        <w:t>La parte latina es considerablemente más extensa que la catalana</w:t>
      </w:r>
    </w:p>
    <w:p w14:paraId="11CC2D79" w14:textId="5403900C" w:rsidR="00876846" w:rsidRDefault="00876846">
      <w:r>
        <w:t xml:space="preserve">La información </w:t>
      </w:r>
      <w:r w:rsidR="007B5C56">
        <w:t>grama</w:t>
      </w:r>
      <w:r>
        <w:t>tica</w:t>
      </w:r>
      <w:r w:rsidR="007B5C56">
        <w:t>l</w:t>
      </w:r>
      <w:r>
        <w:t xml:space="preserve"> y metalingüística se encuentra exclusivamente en la parte latina</w:t>
      </w:r>
      <w:r w:rsidR="00B42035">
        <w:t xml:space="preserve"> (tipos de información, pp. CXLII-CXLIII)</w:t>
      </w:r>
    </w:p>
    <w:p w14:paraId="204CE603" w14:textId="6C2CDEC0" w:rsidR="00B92351" w:rsidRPr="00876846" w:rsidRDefault="00B92351">
      <w:r>
        <w:t>La disposición general del contenido demuestra que la parte latina determina la composición de la obra</w:t>
      </w:r>
      <w:r w:rsidR="000A14A7">
        <w:t>; el foco se encuentra en el latín, y el uso del catalán es meramente auxiliar</w:t>
      </w:r>
      <w:r w:rsidR="00BB4C6E">
        <w:t>. Aunque las entradas principales sean las catalanas, el punto de partida para la elaboración de la obra es el latín</w:t>
      </w:r>
      <w:bookmarkStart w:id="0" w:name="_GoBack"/>
      <w:bookmarkEnd w:id="0"/>
    </w:p>
    <w:p w14:paraId="62751A82" w14:textId="5BE9A84D" w:rsidR="008F7F8B" w:rsidRDefault="008F7F8B">
      <w:r>
        <w:t>pp. CLXII-CLXXV: criterios de edición</w:t>
      </w:r>
    </w:p>
    <w:p w14:paraId="762C3FBB" w14:textId="664AE331" w:rsidR="00BC5455" w:rsidRDefault="009500B3">
      <w:r>
        <w:t xml:space="preserve">actualmente sólo se conservan copias procedentes de una única edición impresa (Venecia, 1489); el ejemplar incunable, pues, funciona como una especie de </w:t>
      </w:r>
      <w:r>
        <w:rPr>
          <w:i/>
        </w:rPr>
        <w:t>codex unicus</w:t>
      </w:r>
      <w:r>
        <w:t>, con todas las dificultades que ello conlleva</w:t>
      </w:r>
      <w:r w:rsidR="009D3336">
        <w:t>. Este incunable del año 1489, no obstante, es especialmente corrupto</w:t>
      </w:r>
      <w:r w:rsidR="00E444D3">
        <w:t>; no se conserva ningún ejemplar manuscrito, ya sea el autógrafo del autor o una copia de éste</w:t>
      </w:r>
    </w:p>
    <w:p w14:paraId="44AA900C" w14:textId="60406BC2" w:rsidR="00270480" w:rsidRDefault="00270480">
      <w:r>
        <w:t>criterios de coherencia interna (coherencia dentro de un mismo fragmento y en comparación con las soluciones empleadas a lo largo de la obra) y coherencia externa (</w:t>
      </w:r>
      <w:r w:rsidR="005712B6">
        <w:t xml:space="preserve">comparación con las fuentes identificadas del </w:t>
      </w:r>
      <w:r w:rsidR="005712B6">
        <w:rPr>
          <w:i/>
        </w:rPr>
        <w:t>Liber</w:t>
      </w:r>
      <w:r>
        <w:t>)</w:t>
      </w:r>
    </w:p>
    <w:p w14:paraId="3C41F49A" w14:textId="732C2818" w:rsidR="00B901A8" w:rsidRDefault="00B901A8">
      <w:r>
        <w:t>pp. CLXVI-CLXXII: los criterios y normas de edición se desarrollan de manera clara y completa</w:t>
      </w:r>
      <w:r w:rsidR="00D65C46">
        <w:t xml:space="preserve"> (ortografía, s</w:t>
      </w:r>
      <w:r w:rsidR="00F61361">
        <w:t>eparación d</w:t>
      </w:r>
      <w:r w:rsidR="00D65C46">
        <w:t>e</w:t>
      </w:r>
      <w:r w:rsidR="00F61361">
        <w:t xml:space="preserve"> </w:t>
      </w:r>
      <w:r w:rsidR="00D65C46">
        <w:t xml:space="preserve">palabras, puntuación, separación de las distintas entradas y subentradas, signos diacríticos, uso de mayúsculas, abreviaturas, numerales, términos y pasajes especiales, referencias, </w:t>
      </w:r>
      <w:r w:rsidR="00D65C46">
        <w:rPr>
          <w:i/>
        </w:rPr>
        <w:t>emendationes</w:t>
      </w:r>
      <w:r w:rsidR="00D65C46">
        <w:t>)</w:t>
      </w:r>
    </w:p>
    <w:p w14:paraId="7A6EDE05" w14:textId="6843303D" w:rsidR="0045415B" w:rsidRDefault="0045415B">
      <w:r>
        <w:t xml:space="preserve">marcas externas de folio/hoja, página y columna en el incunable </w:t>
      </w:r>
      <w:r>
        <w:sym w:font="Wingdings" w:char="F0E0"/>
      </w:r>
      <w:r>
        <w:t xml:space="preserve"> 4 caracteres: los tres primeros indican la hoja y el lado (recto, verso), y el cuarto indica la columna (distribución a tres columnas en el incunable)</w:t>
      </w:r>
    </w:p>
    <w:p w14:paraId="749E909D" w14:textId="37AC3B00" w:rsidR="0045415B" w:rsidRDefault="0045415B">
      <w:r>
        <w:t>marcas internas de entrada y subentrada: las referencias internas corresponden a la numeración asignada por el editor a cada uno de los artículos (catalán-latín), y a las distintas subentradas en latín dentro de cada artículo</w:t>
      </w:r>
    </w:p>
    <w:p w14:paraId="000B12EA" w14:textId="23AA5AE4" w:rsidR="00F61361" w:rsidRDefault="00F61361">
      <w:r>
        <w:t>pp. CLXXII-CLXXV: aparatos e índices</w:t>
      </w:r>
    </w:p>
    <w:p w14:paraId="7A1FBDE5" w14:textId="27D10445" w:rsidR="008B01D2" w:rsidRPr="007E5928" w:rsidRDefault="008B01D2">
      <w:r>
        <w:t xml:space="preserve">presenta dos aparatos/aparato doble: un aparato de fuentes, seguido del aparato crítico; las notas o </w:t>
      </w:r>
      <w:r w:rsidR="005513B6">
        <w:t xml:space="preserve">el </w:t>
      </w:r>
      <w:r>
        <w:t>aparato de notas no se encuentra a pie de página, sino que se presenta a continuación de</w:t>
      </w:r>
      <w:r w:rsidR="005513B6">
        <w:t xml:space="preserve"> </w:t>
      </w:r>
      <w:r>
        <w:t>la edición completa del texto</w:t>
      </w:r>
      <w:r w:rsidR="007E5928">
        <w:t xml:space="preserve">; las </w:t>
      </w:r>
      <w:r w:rsidR="007E5928">
        <w:rPr>
          <w:i/>
        </w:rPr>
        <w:t>adnotationes</w:t>
      </w:r>
      <w:r w:rsidR="007E5928">
        <w:t xml:space="preserve"> se dividen en aquellas referentes al </w:t>
      </w:r>
      <w:r w:rsidR="007E5928">
        <w:rPr>
          <w:i/>
        </w:rPr>
        <w:t>prooemium</w:t>
      </w:r>
      <w:r w:rsidR="007E5928">
        <w:t xml:space="preserve">, al </w:t>
      </w:r>
      <w:r w:rsidR="007E5928">
        <w:rPr>
          <w:i/>
        </w:rPr>
        <w:t>vocabularius</w:t>
      </w:r>
      <w:r w:rsidR="007E5928">
        <w:t xml:space="preserve"> y a los </w:t>
      </w:r>
      <w:r w:rsidR="007E5928">
        <w:rPr>
          <w:i/>
        </w:rPr>
        <w:t>praecepta</w:t>
      </w:r>
      <w:r w:rsidR="007E5928">
        <w:t>.</w:t>
      </w:r>
    </w:p>
    <w:p w14:paraId="550E60F4" w14:textId="443108C8" w:rsidR="00F61361" w:rsidRDefault="00F61361" w:rsidP="00CA3ACA">
      <w:pPr>
        <w:pStyle w:val="Prrafodelista"/>
        <w:numPr>
          <w:ilvl w:val="0"/>
          <w:numId w:val="1"/>
        </w:numPr>
      </w:pPr>
      <w:r w:rsidRPr="00CA3ACA">
        <w:rPr>
          <w:i/>
        </w:rPr>
        <w:t>apparatus criticus</w:t>
      </w:r>
      <w:r>
        <w:t>:</w:t>
      </w:r>
      <w:r w:rsidR="00CA3ACA">
        <w:t xml:space="preserve"> contiene 4 tipos principales de información</w:t>
      </w:r>
    </w:p>
    <w:p w14:paraId="44FBD306" w14:textId="364B5B0C" w:rsidR="00CA3ACA" w:rsidRDefault="008B01D2" w:rsidP="008B01D2">
      <w:pPr>
        <w:pStyle w:val="Prrafodelista"/>
        <w:numPr>
          <w:ilvl w:val="0"/>
          <w:numId w:val="2"/>
        </w:numPr>
      </w:pPr>
      <w:r w:rsidRPr="008B01D2">
        <w:rPr>
          <w:i/>
        </w:rPr>
        <w:t xml:space="preserve">collatio </w:t>
      </w:r>
      <w:r>
        <w:t>de las variantes identificadas entre las copias conservadas de la única edición veneciana</w:t>
      </w:r>
    </w:p>
    <w:p w14:paraId="7877BF53" w14:textId="22412A5B" w:rsidR="008B01D2" w:rsidRDefault="008B01D2" w:rsidP="008B01D2">
      <w:pPr>
        <w:pStyle w:val="Prrafodelista"/>
        <w:numPr>
          <w:ilvl w:val="0"/>
          <w:numId w:val="2"/>
        </w:numPr>
      </w:pPr>
      <w:r>
        <w:t>intervenciones manuscritas presentes en las copias</w:t>
      </w:r>
    </w:p>
    <w:p w14:paraId="6F0B5ECF" w14:textId="350CC126" w:rsidR="008B01D2" w:rsidRPr="008B01D2" w:rsidRDefault="008B01D2" w:rsidP="008B01D2">
      <w:pPr>
        <w:pStyle w:val="Prrafodelista"/>
        <w:numPr>
          <w:ilvl w:val="0"/>
          <w:numId w:val="2"/>
        </w:numPr>
      </w:pPr>
      <w:r>
        <w:rPr>
          <w:i/>
        </w:rPr>
        <w:t>emendationes</w:t>
      </w:r>
    </w:p>
    <w:p w14:paraId="3902A1FA" w14:textId="253AB60D" w:rsidR="008B01D2" w:rsidRDefault="008B01D2" w:rsidP="008B01D2">
      <w:pPr>
        <w:pStyle w:val="Prrafodelista"/>
        <w:numPr>
          <w:ilvl w:val="0"/>
          <w:numId w:val="2"/>
        </w:numPr>
      </w:pPr>
      <w:r>
        <w:t>comparación selectiva con algunos testimonios de las fuentes</w:t>
      </w:r>
    </w:p>
    <w:p w14:paraId="5866D116" w14:textId="0A93143D" w:rsidR="008B01D2" w:rsidRPr="008B01D2" w:rsidRDefault="008B01D2" w:rsidP="008B01D2">
      <w:r>
        <w:t>p. CLXXIII: abreviaturas tradicionales usadas en el aparato</w:t>
      </w:r>
    </w:p>
    <w:p w14:paraId="45AACAC0" w14:textId="13730C7D" w:rsidR="00CA3ACA" w:rsidRDefault="00CA3ACA" w:rsidP="00CA3ACA">
      <w:pPr>
        <w:pStyle w:val="Prrafodelista"/>
        <w:numPr>
          <w:ilvl w:val="0"/>
          <w:numId w:val="1"/>
        </w:numPr>
      </w:pPr>
      <w:r>
        <w:rPr>
          <w:i/>
        </w:rPr>
        <w:t>apparatus fontium</w:t>
      </w:r>
    </w:p>
    <w:p w14:paraId="3FB2C784" w14:textId="489CDDF5" w:rsidR="00CA3ACA" w:rsidRDefault="00CA3ACA" w:rsidP="00CA3ACA">
      <w:pPr>
        <w:pStyle w:val="Prrafodelista"/>
        <w:numPr>
          <w:ilvl w:val="0"/>
          <w:numId w:val="1"/>
        </w:numPr>
        <w:rPr>
          <w:i/>
        </w:rPr>
      </w:pPr>
      <w:r w:rsidRPr="00CA3ACA">
        <w:rPr>
          <w:i/>
        </w:rPr>
        <w:t>apparatus adnotationum</w:t>
      </w:r>
    </w:p>
    <w:p w14:paraId="189D88BC" w14:textId="72215E3A" w:rsidR="005513B6" w:rsidRPr="005513B6" w:rsidRDefault="005513B6" w:rsidP="005513B6">
      <w:r>
        <w:t xml:space="preserve">índice de fuentes: incluye las referencias a todas las fuentes del </w:t>
      </w:r>
      <w:r>
        <w:rPr>
          <w:i/>
        </w:rPr>
        <w:t>Liber</w:t>
      </w:r>
      <w:r>
        <w:t xml:space="preserve">, distribuidas en orden alfabético de autores y obras (autores antiguos, medievales y del Renacimiento). Las fuentes explícitas van precedidas de un asterisco en el índice, mientras que las implícitas no contienen ninguna señal o marca particular. Algunas de las fuentes </w:t>
      </w:r>
      <w:r w:rsidR="007C576C">
        <w:t xml:space="preserve">(o autores) </w:t>
      </w:r>
      <w:r>
        <w:t>más destacadas son</w:t>
      </w:r>
      <w:r w:rsidR="007C576C">
        <w:t xml:space="preserve"> Balbi, Bracciolini, Facio</w:t>
      </w:r>
      <w:r w:rsidR="00BA3CC7">
        <w:t>, Fieschi, Perotti; entre los autores clásicos destacan Terencio y Virgilio</w:t>
      </w:r>
      <w:r w:rsidRPr="005513B6">
        <w:rPr>
          <w:highlight w:val="yellow"/>
        </w:rPr>
        <w:t>…</w:t>
      </w:r>
    </w:p>
    <w:p w14:paraId="2DEA8969" w14:textId="132B96C2" w:rsidR="008F7F8B" w:rsidRDefault="008F7F8B">
      <w:r>
        <w:t>pp. CLXXVII-CCXIII: bibliografía</w:t>
      </w:r>
    </w:p>
    <w:p w14:paraId="15E21044" w14:textId="10286D7A" w:rsidR="000E7112" w:rsidRDefault="000E7112">
      <w:r>
        <w:t>dividida en abreviaturas, autores (</w:t>
      </w:r>
      <w:r>
        <w:rPr>
          <w:i/>
        </w:rPr>
        <w:t>auctores antiquiores, auctores recentiores, editiones alterae usque ad 1800</w:t>
      </w:r>
      <w:r>
        <w:t>) y bibliografía general</w:t>
      </w:r>
    </w:p>
    <w:p w14:paraId="5C16A461" w14:textId="0C03C6F8" w:rsidR="008F7F8B" w:rsidRDefault="008F7F8B">
      <w:r>
        <w:t>pp. 3-322: edición crítica</w:t>
      </w:r>
    </w:p>
    <w:p w14:paraId="0174B6CB" w14:textId="1A55DBEE" w:rsidR="007E052B" w:rsidRDefault="007E052B">
      <w:r>
        <w:t>la selección de términos y sentencias latinos, precedidos de sus equivalentes en lengua vernácula, se distribuye en orden alfabético</w:t>
      </w:r>
    </w:p>
    <w:p w14:paraId="13E324B4" w14:textId="6A123BAC" w:rsidR="008F7F8B" w:rsidRDefault="008F7F8B">
      <w:r>
        <w:t>pp. 323-406: notas (</w:t>
      </w:r>
      <w:r w:rsidRPr="008F7F8B">
        <w:rPr>
          <w:i/>
        </w:rPr>
        <w:t>adnotationes</w:t>
      </w:r>
      <w:r>
        <w:t>)</w:t>
      </w:r>
    </w:p>
    <w:p w14:paraId="5888159E" w14:textId="2E3CC154" w:rsidR="008F7F8B" w:rsidRDefault="008F7F8B">
      <w:r>
        <w:t>pp. 407-437: índice de fuentes (</w:t>
      </w:r>
      <w:r>
        <w:rPr>
          <w:i/>
        </w:rPr>
        <w:t>index fontium</w:t>
      </w:r>
      <w:r>
        <w:t>)</w:t>
      </w:r>
    </w:p>
    <w:p w14:paraId="2F471572" w14:textId="77777777" w:rsidR="00041F75" w:rsidRDefault="00041F75"/>
    <w:p w14:paraId="550E9340" w14:textId="77777777" w:rsidR="00041F75" w:rsidRDefault="00041F75"/>
    <w:p w14:paraId="2B33DA1D" w14:textId="77777777" w:rsidR="00041F75" w:rsidRDefault="00041F75"/>
    <w:p w14:paraId="2BBA8CB6" w14:textId="77777777" w:rsidR="00BB5779" w:rsidRDefault="00BB5779"/>
    <w:sectPr w:rsidR="00BB5779" w:rsidSect="0061174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045C5"/>
    <w:multiLevelType w:val="hybridMultilevel"/>
    <w:tmpl w:val="CFCC5A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7326AA"/>
    <w:multiLevelType w:val="hybridMultilevel"/>
    <w:tmpl w:val="CE4CDE4E"/>
    <w:lvl w:ilvl="0" w:tplc="63A64712">
      <w:start w:val="4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117"/>
    <w:rsid w:val="0003535E"/>
    <w:rsid w:val="00041F75"/>
    <w:rsid w:val="00066449"/>
    <w:rsid w:val="000A14A7"/>
    <w:rsid w:val="000E7112"/>
    <w:rsid w:val="0010643F"/>
    <w:rsid w:val="00115851"/>
    <w:rsid w:val="00170A35"/>
    <w:rsid w:val="0019104C"/>
    <w:rsid w:val="00212001"/>
    <w:rsid w:val="00270480"/>
    <w:rsid w:val="00284598"/>
    <w:rsid w:val="0029070D"/>
    <w:rsid w:val="002B1673"/>
    <w:rsid w:val="002D0AEC"/>
    <w:rsid w:val="002D1E78"/>
    <w:rsid w:val="002E3CE9"/>
    <w:rsid w:val="002F00FF"/>
    <w:rsid w:val="00330084"/>
    <w:rsid w:val="00356220"/>
    <w:rsid w:val="003D4971"/>
    <w:rsid w:val="00400DC6"/>
    <w:rsid w:val="004151DD"/>
    <w:rsid w:val="00435996"/>
    <w:rsid w:val="0045415B"/>
    <w:rsid w:val="004A5239"/>
    <w:rsid w:val="0050262B"/>
    <w:rsid w:val="00505F55"/>
    <w:rsid w:val="00520BED"/>
    <w:rsid w:val="005513B6"/>
    <w:rsid w:val="005712B6"/>
    <w:rsid w:val="005A4783"/>
    <w:rsid w:val="00603BEC"/>
    <w:rsid w:val="00611745"/>
    <w:rsid w:val="00641C4E"/>
    <w:rsid w:val="0064625C"/>
    <w:rsid w:val="006A7083"/>
    <w:rsid w:val="006C38A1"/>
    <w:rsid w:val="00706A0A"/>
    <w:rsid w:val="007343F9"/>
    <w:rsid w:val="00736C69"/>
    <w:rsid w:val="007947C5"/>
    <w:rsid w:val="007B5C56"/>
    <w:rsid w:val="007C576C"/>
    <w:rsid w:val="007C7642"/>
    <w:rsid w:val="007E052B"/>
    <w:rsid w:val="007E5928"/>
    <w:rsid w:val="007F4C59"/>
    <w:rsid w:val="00801598"/>
    <w:rsid w:val="00876846"/>
    <w:rsid w:val="00881FB1"/>
    <w:rsid w:val="008B01D2"/>
    <w:rsid w:val="008F7F8B"/>
    <w:rsid w:val="00901A9D"/>
    <w:rsid w:val="0093161A"/>
    <w:rsid w:val="009500B3"/>
    <w:rsid w:val="009653C9"/>
    <w:rsid w:val="009716CC"/>
    <w:rsid w:val="009D1C57"/>
    <w:rsid w:val="009D3336"/>
    <w:rsid w:val="009E3B43"/>
    <w:rsid w:val="00A05A31"/>
    <w:rsid w:val="00A2233F"/>
    <w:rsid w:val="00A274D3"/>
    <w:rsid w:val="00A42099"/>
    <w:rsid w:val="00A97CE5"/>
    <w:rsid w:val="00AE6A8A"/>
    <w:rsid w:val="00AE7C59"/>
    <w:rsid w:val="00B10893"/>
    <w:rsid w:val="00B24F85"/>
    <w:rsid w:val="00B25F41"/>
    <w:rsid w:val="00B42035"/>
    <w:rsid w:val="00B67089"/>
    <w:rsid w:val="00B901A8"/>
    <w:rsid w:val="00B92351"/>
    <w:rsid w:val="00BA3CC7"/>
    <w:rsid w:val="00BB4C6E"/>
    <w:rsid w:val="00BB5779"/>
    <w:rsid w:val="00BC5455"/>
    <w:rsid w:val="00BF1280"/>
    <w:rsid w:val="00BF1689"/>
    <w:rsid w:val="00BF27C3"/>
    <w:rsid w:val="00C253BD"/>
    <w:rsid w:val="00C35051"/>
    <w:rsid w:val="00C61A35"/>
    <w:rsid w:val="00CA3ACA"/>
    <w:rsid w:val="00D0512A"/>
    <w:rsid w:val="00D4337C"/>
    <w:rsid w:val="00D51175"/>
    <w:rsid w:val="00D5384A"/>
    <w:rsid w:val="00D543C4"/>
    <w:rsid w:val="00D5658B"/>
    <w:rsid w:val="00D65C46"/>
    <w:rsid w:val="00DA16FC"/>
    <w:rsid w:val="00DC1793"/>
    <w:rsid w:val="00E020D3"/>
    <w:rsid w:val="00E24D80"/>
    <w:rsid w:val="00E444D3"/>
    <w:rsid w:val="00E5591A"/>
    <w:rsid w:val="00E61CC0"/>
    <w:rsid w:val="00EF591F"/>
    <w:rsid w:val="00F50727"/>
    <w:rsid w:val="00F61361"/>
    <w:rsid w:val="00F7686E"/>
    <w:rsid w:val="00FA6117"/>
    <w:rsid w:val="00FB0AD1"/>
    <w:rsid w:val="00FC6AFF"/>
    <w:rsid w:val="00FD5770"/>
    <w:rsid w:val="00FE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5C83C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rat">
    <w:name w:val="aparat"/>
    <w:basedOn w:val="Normal"/>
    <w:qFormat/>
    <w:rsid w:val="002D0AEC"/>
    <w:pPr>
      <w:widowControl w:val="0"/>
      <w:autoSpaceDE w:val="0"/>
      <w:autoSpaceDN w:val="0"/>
      <w:adjustRightInd w:val="0"/>
      <w:contextualSpacing/>
      <w:jc w:val="both"/>
    </w:pPr>
    <w:rPr>
      <w:rFonts w:ascii="Palatino Linotype" w:hAnsi="Palatino Linotype" w:cs="Helvetica"/>
      <w:bCs/>
      <w:color w:val="000000"/>
      <w:sz w:val="20"/>
      <w:szCs w:val="20"/>
      <w:lang w:val="it-IT" w:eastAsia="ca-ES"/>
    </w:rPr>
  </w:style>
  <w:style w:type="paragraph" w:styleId="Prrafodelista">
    <w:name w:val="List Paragraph"/>
    <w:basedOn w:val="Normal"/>
    <w:uiPriority w:val="34"/>
    <w:qFormat/>
    <w:rsid w:val="00CA3A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rat">
    <w:name w:val="aparat"/>
    <w:basedOn w:val="Normal"/>
    <w:qFormat/>
    <w:rsid w:val="002D0AEC"/>
    <w:pPr>
      <w:widowControl w:val="0"/>
      <w:autoSpaceDE w:val="0"/>
      <w:autoSpaceDN w:val="0"/>
      <w:adjustRightInd w:val="0"/>
      <w:contextualSpacing/>
      <w:jc w:val="both"/>
    </w:pPr>
    <w:rPr>
      <w:rFonts w:ascii="Palatino Linotype" w:hAnsi="Palatino Linotype" w:cs="Helvetica"/>
      <w:bCs/>
      <w:color w:val="000000"/>
      <w:sz w:val="20"/>
      <w:szCs w:val="20"/>
      <w:lang w:val="it-IT" w:eastAsia="ca-ES"/>
    </w:rPr>
  </w:style>
  <w:style w:type="paragraph" w:styleId="Prrafodelista">
    <w:name w:val="List Paragraph"/>
    <w:basedOn w:val="Normal"/>
    <w:uiPriority w:val="34"/>
    <w:qFormat/>
    <w:rsid w:val="00CA3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3</Pages>
  <Words>1052</Words>
  <Characters>5786</Characters>
  <Application>Microsoft Macintosh Word</Application>
  <DocSecurity>0</DocSecurity>
  <Lines>48</Lines>
  <Paragraphs>13</Paragraphs>
  <ScaleCrop>false</ScaleCrop>
  <Company>IMF-CSIC</Company>
  <LinksUpToDate>false</LinksUpToDate>
  <CharactersWithSpaces>6825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Punsola Munárriz</dc:creator>
  <cp:keywords/>
  <dc:description/>
  <cp:lastModifiedBy>IMF-Estudis Medievals</cp:lastModifiedBy>
  <cp:revision>99</cp:revision>
  <dcterms:created xsi:type="dcterms:W3CDTF">2014-08-25T08:54:00Z</dcterms:created>
  <dcterms:modified xsi:type="dcterms:W3CDTF">2014-09-01T09:24:00Z</dcterms:modified>
</cp:coreProperties>
</file>