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D5A6A" w14:textId="77777777" w:rsidR="0050017C" w:rsidRPr="00CF467B" w:rsidRDefault="0050017C" w:rsidP="00CF467B">
      <w:pPr>
        <w:jc w:val="center"/>
        <w:rPr>
          <w:rFonts w:ascii="Palatino Linotype" w:hAnsi="Palatino Linotype"/>
          <w:b/>
        </w:rPr>
      </w:pPr>
      <w:r w:rsidRPr="00CF467B">
        <w:rPr>
          <w:rFonts w:ascii="Palatino Linotype" w:hAnsi="Palatino Linotype"/>
          <w:b/>
          <w:i/>
        </w:rPr>
        <w:t>Fui lelex et scriptor</w:t>
      </w:r>
      <w:r w:rsidRPr="00CF467B">
        <w:rPr>
          <w:rFonts w:ascii="Palatino Linotype" w:hAnsi="Palatino Linotype"/>
          <w:b/>
        </w:rPr>
        <w:t>. El uso del léxico helénico como muestra de cultura a finales del siglo XI</w:t>
      </w:r>
    </w:p>
    <w:p w14:paraId="4BAA18E8" w14:textId="77777777" w:rsidR="002E7395" w:rsidRDefault="002E7395">
      <w:pPr>
        <w:rPr>
          <w:rFonts w:ascii="Palatino Linotype" w:hAnsi="Palatino Linotype"/>
        </w:rPr>
      </w:pPr>
    </w:p>
    <w:p w14:paraId="6BADB31D" w14:textId="47FFCE0C" w:rsidR="002E7395" w:rsidRDefault="002E7395" w:rsidP="00B67D8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La documentación latina de la Cataluña altomedieval se caracteriza por su carácter formular y pragmático, </w:t>
      </w:r>
      <w:r w:rsidR="00E04A62">
        <w:rPr>
          <w:rFonts w:ascii="Palatino Linotype" w:hAnsi="Palatino Linotype"/>
        </w:rPr>
        <w:t xml:space="preserve">así como </w:t>
      </w:r>
      <w:r>
        <w:rPr>
          <w:rFonts w:ascii="Palatino Linotype" w:hAnsi="Palatino Linotype"/>
        </w:rPr>
        <w:t>por la gran importancia concedida a la claridad de las cláusulas y sentencias. No obstante, algunos escribas muestran cierto gusto por escapar de la fórmula, introduciendo así una serie de giros y vocablos más propios de la literatura que de la lengua jurídica.</w:t>
      </w:r>
    </w:p>
    <w:p w14:paraId="622BB28C" w14:textId="64C21EAE" w:rsidR="002E7395" w:rsidRDefault="002E7395" w:rsidP="00B67D8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 este sentido, una figura destacada es </w:t>
      </w:r>
      <w:r w:rsidR="00E50B26">
        <w:rPr>
          <w:rFonts w:ascii="Palatino Linotype" w:hAnsi="Palatino Linotype"/>
        </w:rPr>
        <w:t>la d</w:t>
      </w:r>
      <w:bookmarkStart w:id="0" w:name="_GoBack"/>
      <w:bookmarkEnd w:id="0"/>
      <w:r>
        <w:rPr>
          <w:rFonts w:ascii="Palatino Linotype" w:hAnsi="Palatino Linotype"/>
        </w:rPr>
        <w:t>el jurista Ermengol Bernat de Urgel, el cual aparece como juez y escribano en documentos redactados entre mitades y finales del siglo XI.</w:t>
      </w:r>
      <w:r w:rsidR="006B63FF">
        <w:rPr>
          <w:rFonts w:ascii="Palatino Linotype" w:hAnsi="Palatino Linotype"/>
        </w:rPr>
        <w:t xml:space="preserve"> Escritor de lengua cuidada y de sintaxis correcta, denota predilección por el uso de un léxico culto, y emplea algunos términos sólo atestados en los diplomas redactados por él. Este es el caso del helenismo </w:t>
      </w:r>
      <w:r w:rsidR="006B63FF" w:rsidRPr="006B63FF">
        <w:rPr>
          <w:rFonts w:ascii="Palatino Linotype" w:hAnsi="Palatino Linotype"/>
          <w:i/>
        </w:rPr>
        <w:t>lelex</w:t>
      </w:r>
      <w:r w:rsidR="006B63FF">
        <w:rPr>
          <w:rFonts w:ascii="Palatino Linotype" w:hAnsi="Palatino Linotype"/>
        </w:rPr>
        <w:t xml:space="preserve">, usado como sinónimo de </w:t>
      </w:r>
      <w:r w:rsidR="006B63FF" w:rsidRPr="006B63FF">
        <w:rPr>
          <w:rFonts w:ascii="Palatino Linotype" w:hAnsi="Palatino Linotype"/>
          <w:i/>
        </w:rPr>
        <w:t>legisperitus</w:t>
      </w:r>
      <w:r w:rsidR="006B63FF">
        <w:rPr>
          <w:rFonts w:ascii="Palatino Linotype" w:hAnsi="Palatino Linotype"/>
        </w:rPr>
        <w:t xml:space="preserve"> o </w:t>
      </w:r>
      <w:r w:rsidR="006B63FF" w:rsidRPr="006B63FF">
        <w:rPr>
          <w:rFonts w:ascii="Palatino Linotype" w:hAnsi="Palatino Linotype"/>
          <w:i/>
        </w:rPr>
        <w:t>iudex</w:t>
      </w:r>
      <w:r w:rsidR="00A47BFC">
        <w:rPr>
          <w:rFonts w:ascii="Palatino Linotype" w:hAnsi="Palatino Linotype"/>
        </w:rPr>
        <w:t xml:space="preserve"> para describir su rol en el acto descrito.</w:t>
      </w:r>
    </w:p>
    <w:p w14:paraId="3B225805" w14:textId="353EE1FE" w:rsidR="0050017C" w:rsidRPr="0050017C" w:rsidRDefault="00B67D83" w:rsidP="00B67D8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 la presente comunicación, </w:t>
      </w:r>
      <w:r w:rsidR="00A47BFC">
        <w:rPr>
          <w:rFonts w:ascii="Palatino Linotype" w:hAnsi="Palatino Linotype"/>
        </w:rPr>
        <w:t xml:space="preserve">estudiaremos el origen y el uso de este </w:t>
      </w:r>
      <w:r w:rsidR="002E7395">
        <w:rPr>
          <w:rFonts w:ascii="Palatino Linotype" w:hAnsi="Palatino Linotype"/>
        </w:rPr>
        <w:t>vocablo</w:t>
      </w:r>
      <w:r w:rsidR="00A47BFC">
        <w:rPr>
          <w:rFonts w:ascii="Palatino Linotype" w:hAnsi="Palatino Linotype"/>
        </w:rPr>
        <w:t xml:space="preserve"> con el fin de averiguar cómo ha llegado a </w:t>
      </w:r>
      <w:r w:rsidR="00E04A62">
        <w:rPr>
          <w:rFonts w:ascii="Palatino Linotype" w:hAnsi="Palatino Linotype"/>
        </w:rPr>
        <w:t>la</w:t>
      </w:r>
      <w:r w:rsidR="002E7395">
        <w:rPr>
          <w:rFonts w:ascii="Palatino Linotype" w:hAnsi="Palatino Linotype"/>
        </w:rPr>
        <w:t xml:space="preserve"> documentación</w:t>
      </w:r>
      <w:r w:rsidR="00E04A62">
        <w:rPr>
          <w:rFonts w:ascii="Palatino Linotype" w:hAnsi="Palatino Linotype"/>
        </w:rPr>
        <w:t xml:space="preserve"> catalana de la Alta Edad Media</w:t>
      </w:r>
      <w:r w:rsidR="00252FA8">
        <w:rPr>
          <w:rFonts w:ascii="Palatino Linotype" w:hAnsi="Palatino Linotype"/>
        </w:rPr>
        <w:t>.</w:t>
      </w:r>
    </w:p>
    <w:sectPr w:rsidR="0050017C" w:rsidRPr="0050017C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9F"/>
    <w:rsid w:val="001606FE"/>
    <w:rsid w:val="00172D4B"/>
    <w:rsid w:val="00252FA8"/>
    <w:rsid w:val="002661EE"/>
    <w:rsid w:val="002D0AEC"/>
    <w:rsid w:val="002E7395"/>
    <w:rsid w:val="0050017C"/>
    <w:rsid w:val="00611745"/>
    <w:rsid w:val="006B63FF"/>
    <w:rsid w:val="00791E9F"/>
    <w:rsid w:val="00A47BFC"/>
    <w:rsid w:val="00B67D83"/>
    <w:rsid w:val="00C036B4"/>
    <w:rsid w:val="00C1106D"/>
    <w:rsid w:val="00CF467B"/>
    <w:rsid w:val="00D5384A"/>
    <w:rsid w:val="00E04A62"/>
    <w:rsid w:val="00E50B26"/>
    <w:rsid w:val="00F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C4B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955</Characters>
  <Application>Microsoft Macintosh Word</Application>
  <DocSecurity>0</DocSecurity>
  <Lines>7</Lines>
  <Paragraphs>2</Paragraphs>
  <ScaleCrop>false</ScaleCrop>
  <Company>IMF-CSIC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9</cp:revision>
  <dcterms:created xsi:type="dcterms:W3CDTF">2016-02-10T13:04:00Z</dcterms:created>
  <dcterms:modified xsi:type="dcterms:W3CDTF">2016-04-21T15:02:00Z</dcterms:modified>
</cp:coreProperties>
</file>