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04A" w:rsidRPr="00E4404A" w:rsidRDefault="00E4404A" w:rsidP="00E4404A">
      <w:pPr>
        <w:jc w:val="center"/>
        <w:rPr>
          <w:b/>
          <w:color w:val="auto"/>
        </w:rPr>
      </w:pPr>
      <w:r w:rsidRPr="00E4404A">
        <w:rPr>
          <w:b/>
          <w:color w:val="auto"/>
        </w:rPr>
        <w:t>179</w:t>
      </w:r>
    </w:p>
    <w:p w:rsidR="00E4404A" w:rsidRPr="00E4404A" w:rsidRDefault="00E4404A" w:rsidP="00E4404A">
      <w:pPr>
        <w:rPr>
          <w:color w:val="auto"/>
        </w:rPr>
      </w:pPr>
      <w:bookmarkStart w:id="0" w:name="_GoBack"/>
      <w:bookmarkEnd w:id="0"/>
    </w:p>
    <w:p w:rsidR="00E4404A" w:rsidRPr="00E4404A" w:rsidRDefault="00E4404A" w:rsidP="00E4404A">
      <w:pPr>
        <w:rPr>
          <w:color w:val="auto"/>
        </w:rPr>
      </w:pPr>
      <w:r w:rsidRPr="00E4404A">
        <w:rPr>
          <w:color w:val="auto"/>
        </w:rPr>
        <w:t>1012 març 4</w:t>
      </w:r>
    </w:p>
    <w:p w:rsidR="00E4404A" w:rsidRPr="00E4404A" w:rsidRDefault="00E4404A" w:rsidP="00E4404A">
      <w:pPr>
        <w:rPr>
          <w:color w:val="auto"/>
        </w:rPr>
      </w:pPr>
    </w:p>
    <w:p w:rsidR="00E4404A" w:rsidRPr="00E4404A" w:rsidRDefault="00E4404A" w:rsidP="00E4404A">
      <w:pPr>
        <w:rPr>
          <w:color w:val="auto"/>
        </w:rPr>
      </w:pPr>
      <w:r w:rsidRPr="00E4404A">
        <w:rPr>
          <w:color w:val="auto"/>
        </w:rPr>
        <w:t>EL BISBE DEODAT I ELS CANONGES DE LA SANTA CREU I SANTA EULÀLIA DE LA SEU DE BARCELONA VENEN A GUITARD, FILL DEL DIFUNT ARNAU, PRÒCER DE LLINATGE COMTAL, UN ALOU, SITUAT AL COMTAT DE BARCELONA, EN DIFERENTS INDRETS DEL VALLÈS, PEL PREU DE 15 UNCES D’OR.</w:t>
      </w:r>
    </w:p>
    <w:p w:rsidR="00E4404A" w:rsidRPr="00E4404A" w:rsidRDefault="00E4404A" w:rsidP="00E4404A">
      <w:pPr>
        <w:rPr>
          <w:color w:val="auto"/>
        </w:rPr>
      </w:pPr>
    </w:p>
    <w:p w:rsidR="00E4404A" w:rsidRPr="00E4404A" w:rsidRDefault="00E4404A" w:rsidP="00E4404A">
      <w:pPr>
        <w:rPr>
          <w:color w:val="auto"/>
        </w:rPr>
      </w:pPr>
      <w:r w:rsidRPr="00E4404A">
        <w:rPr>
          <w:color w:val="auto"/>
        </w:rPr>
        <w:t>ACB, perg. 1-1-331. Original. Pergamí, 373 x 407 mm. Al verso: “Guitardi”; “Guitardus Arnallus” (s. XI); “Num... 331”; “LXXVIII” (s. XVII); “Diversorum A. 331” (Mas); “1011” (F-B). Caplletra “I”: 3 ratlles.</w:t>
      </w:r>
    </w:p>
    <w:p w:rsidR="00E4404A" w:rsidRPr="00E4404A" w:rsidRDefault="00E4404A" w:rsidP="00E4404A">
      <w:pPr>
        <w:rPr>
          <w:color w:val="auto"/>
        </w:rPr>
      </w:pPr>
    </w:p>
    <w:p w:rsidR="00E4404A" w:rsidRPr="00E4404A" w:rsidRDefault="00E4404A" w:rsidP="00E4404A">
      <w:pPr>
        <w:rPr>
          <w:color w:val="auto"/>
        </w:rPr>
      </w:pPr>
    </w:p>
    <w:p w:rsidR="00E4404A" w:rsidRPr="00E4404A" w:rsidRDefault="00E4404A" w:rsidP="00E4404A">
      <w:pPr>
        <w:rPr>
          <w:color w:val="auto"/>
        </w:rPr>
      </w:pPr>
      <w:r w:rsidRPr="00E4404A">
        <w:rPr>
          <w:color w:val="auto"/>
        </w:rPr>
        <w:tab/>
        <w:t>In nomine sancte et perpetim manentis Trinitate. Ego Deusdedit, gratia Dei episcopus, simul cum fratres meos kannonicos Sancte Crucis Sancteque Eulalie Sedis Barchinone vel et omni clero eiusdem familiaritatis subiecto, nos simul in unum, vinditores summus tibi Guitardus, prolem, scilicet, bone memorie condam Arnalli, procerus comitalis prosapie hortus, emptore. Per hac scriptura venditionis nostre vindimus tibi alaudem nostrum nostreque munificentie Ecclesie, id sunt, terras, vineas, domibus et domatos constructos, edes et kasalitios cum illorum ordinum ac meandros operum fundamentorum positos, solos et superpositos cum illarum culmina et compluvia, foras et valuas mutuatim, coeuntia, limina, quoque cuneata cum illorum apoto, kardia, belligeria in formis kalipsea, ostrachas, tersellas, prostatas et fundiconstipatas sandaricaque venetum, celatas, columbaria, torcularia cum prelios forumque suarum, utensilia, cellaria, bacchea, acithabula, feculica, anaglava, offarica, hortos cum arboribus diversis usibus, abtis vel neutri generis, tamen humor aquarum animatis,</w:t>
      </w:r>
      <w:r w:rsidRPr="00E4404A">
        <w:rPr>
          <w:color w:val="auto"/>
          <w:vertAlign w:val="superscript"/>
        </w:rPr>
        <w:t>1</w:t>
      </w:r>
      <w:r w:rsidRPr="00E4404A">
        <w:rPr>
          <w:color w:val="auto"/>
        </w:rPr>
        <w:t xml:space="preserve"> fontibus, riu\v/olis, limfarum dirivationibus, procul deductis vel locellis prope collectis; plantaria quoque vitium, rustica vel traduc\e/aria cuiusque sarmentis, corimbea quamvis tamen sint dactilea, ceraunea, stifanica, mareotica seu cuiusque nemorum pomum fecunda, in quocumque loco pastinata, silvis, garricis, montuosum et declivum, altum et planum, humilem et subrectum, cultum vel heremum. Qui mihi advenit ad me presul per largitionem condam patruelis mei, bone memorie archigerontus Lupetus, et ad nos fratres per unitatem conexionis nostre mater ecclesie. Est hec omnia pretexta in comitatu barchinonense, in Vallense, in multorum eius terminio. Ponimus autem horum affrontationes causarum ex parte circi</w:t>
      </w:r>
      <w:r w:rsidRPr="00E4404A">
        <w:rPr>
          <w:color w:val="auto"/>
          <w:vertAlign w:val="superscript"/>
        </w:rPr>
        <w:t>2</w:t>
      </w:r>
      <w:r w:rsidRPr="00E4404A">
        <w:rPr>
          <w:color w:val="auto"/>
        </w:rPr>
        <w:t xml:space="preserve"> montem Crepidinis Bui et sic inde meatur usque in flumen Thenis, de parte aquilonis descenditur per flumen Thenis et sic </w:t>
      </w:r>
      <w:r w:rsidRPr="00E4404A">
        <w:rPr>
          <w:color w:val="auto"/>
        </w:rPr>
        <w:lastRenderedPageBreak/>
        <w:t>proveitur per turrem condam Guifredi Capacis sicque inde descendit in maritima confinia marisque sabularum acervi, de parte meridies cingitur alta Moysea ampotrie, de parte occiduana concluditur dirivationes aquarum Riuspulli et inflectitur horomam tervis et sic rectotramite subdivo inde traicitur et finitur ubi inicitur orno Crepidinis Bui. Quantum infra istas affrontationes ad mihi prefatus presul debitavit prenotatus condam Lupetus in omnibus prediis et possessionibus. Ea omnia tibi vindimus ab integre, exceptus hoc quod consecratum habemus ad ipsa cannonica nostra, ob pretium, scilicet, ter quinas</w:t>
      </w:r>
      <w:r w:rsidRPr="00E4404A">
        <w:rPr>
          <w:color w:val="auto"/>
          <w:vertAlign w:val="superscript"/>
        </w:rPr>
        <w:t>3</w:t>
      </w:r>
      <w:r w:rsidRPr="00E4404A">
        <w:rPr>
          <w:color w:val="auto"/>
        </w:rPr>
        <w:t xml:space="preserve"> untias auri cocti plenitur trutinatas. Quod tu nobis dedisti et nos iocunditer accepimus et in tempore gravi sterilitatis afflicto pro alimonie sumptibus in ipsa cannonica sustentationis gratie dispensavimus. Est manifestum. Quem vero prenotata omnia, que nos tibi vindimus, de nostro iure in tuo transducimus dominio et potestate, ut tu habeas et possideas quiete et secure sine cuiusque contrarietatis obtaculo. Et post tuum obitum, unicui volueris, similem modum possidendi concedas. Post suum vero obitum omnia prelibata nostra mater ecclesia sibi iure possidendum usurpet naviter fruendum peremniter. Et qui hoc extorquere aut aliter inmutare temptaverit, ab omni cultu divino excomunicatus permaneat et ab angelorum cunctis sanctorum sit exulus et cum traduce diabulo in flamis atrocibus eternaliter, maneat comburendus. Amen.</w:t>
      </w:r>
    </w:p>
    <w:p w:rsidR="00E4404A" w:rsidRPr="00E4404A" w:rsidRDefault="00E4404A" w:rsidP="00E4404A">
      <w:pPr>
        <w:rPr>
          <w:color w:val="auto"/>
        </w:rPr>
      </w:pPr>
      <w:r w:rsidRPr="00E4404A">
        <w:rPr>
          <w:color w:val="auto"/>
        </w:rPr>
        <w:tab/>
        <w:t>Facta venditione prefato cum conventu IIII nonas martii, anno XVI regnante Roberto rege, filium condam Hugoni.</w:t>
      </w:r>
    </w:p>
    <w:p w:rsidR="00E4404A" w:rsidRPr="00E4404A" w:rsidRDefault="00E4404A" w:rsidP="00E4404A">
      <w:pPr>
        <w:rPr>
          <w:color w:val="auto"/>
        </w:rPr>
      </w:pPr>
      <w:r w:rsidRPr="00E4404A">
        <w:rPr>
          <w:color w:val="auto"/>
        </w:rPr>
        <w:tab/>
        <w:t>*Bonushomo levita*, exarator et sss sub die et anno prefixo.</w:t>
      </w:r>
    </w:p>
    <w:p w:rsidR="00E4404A" w:rsidRPr="00E4404A" w:rsidRDefault="00E4404A" w:rsidP="00E4404A">
      <w:pPr>
        <w:rPr>
          <w:color w:val="auto"/>
        </w:rPr>
      </w:pPr>
    </w:p>
    <w:p w:rsidR="00E4404A" w:rsidRPr="00E4404A" w:rsidRDefault="00E4404A" w:rsidP="00E4404A">
      <w:pPr>
        <w:rPr>
          <w:color w:val="auto"/>
        </w:rPr>
      </w:pPr>
    </w:p>
    <w:p w:rsidR="00E4404A" w:rsidRPr="00E4404A" w:rsidRDefault="00E4404A" w:rsidP="00E4404A">
      <w:pPr>
        <w:rPr>
          <w:color w:val="auto"/>
        </w:rPr>
      </w:pPr>
      <w:r w:rsidRPr="00E4404A">
        <w:rPr>
          <w:color w:val="auto"/>
        </w:rPr>
        <w:t xml:space="preserve">1. </w:t>
      </w:r>
      <w:r w:rsidRPr="00E4404A">
        <w:rPr>
          <w:i/>
          <w:color w:val="auto"/>
        </w:rPr>
        <w:t>Sota la</w:t>
      </w:r>
      <w:r w:rsidRPr="00E4404A">
        <w:rPr>
          <w:color w:val="auto"/>
        </w:rPr>
        <w:t xml:space="preserve"> i </w:t>
      </w:r>
      <w:r w:rsidRPr="00E4404A">
        <w:rPr>
          <w:i/>
          <w:color w:val="auto"/>
        </w:rPr>
        <w:t>hi ha una</w:t>
      </w:r>
      <w:r w:rsidRPr="00E4404A">
        <w:rPr>
          <w:color w:val="auto"/>
        </w:rPr>
        <w:t xml:space="preserve"> e. 2. </w:t>
      </w:r>
      <w:r w:rsidRPr="00E4404A">
        <w:rPr>
          <w:i/>
          <w:color w:val="auto"/>
        </w:rPr>
        <w:t>Segueix una paraula il·legible raspada</w:t>
      </w:r>
      <w:r w:rsidRPr="00E4404A">
        <w:rPr>
          <w:color w:val="auto"/>
        </w:rPr>
        <w:t xml:space="preserve">. 3. </w:t>
      </w:r>
      <w:r w:rsidRPr="00E4404A">
        <w:rPr>
          <w:i/>
          <w:color w:val="auto"/>
        </w:rPr>
        <w:t>La</w:t>
      </w:r>
      <w:r w:rsidRPr="00E4404A">
        <w:rPr>
          <w:color w:val="auto"/>
        </w:rPr>
        <w:t xml:space="preserve"> s </w:t>
      </w:r>
      <w:r w:rsidRPr="00E4404A">
        <w:rPr>
          <w:i/>
          <w:color w:val="auto"/>
        </w:rPr>
        <w:t>està ratllada</w:t>
      </w:r>
      <w:r w:rsidRPr="00E4404A">
        <w:rPr>
          <w:color w:val="auto"/>
        </w:rPr>
        <w:t>.</w:t>
      </w:r>
    </w:p>
    <w:p w:rsidR="00E4404A" w:rsidRPr="00E4404A" w:rsidRDefault="00E4404A" w:rsidP="00E4404A">
      <w:pPr>
        <w:rPr>
          <w:color w:val="auto"/>
        </w:rPr>
      </w:pPr>
    </w:p>
    <w:p w:rsidR="00D5384A" w:rsidRPr="00E4404A" w:rsidRDefault="00D5384A">
      <w:pPr>
        <w:rPr>
          <w:color w:val="auto"/>
        </w:rPr>
      </w:pPr>
    </w:p>
    <w:sectPr w:rsidR="00D5384A" w:rsidRPr="00E4404A" w:rsidSect="0061174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Palatino Linotype">
    <w:panose1 w:val="020405020505050303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04A"/>
    <w:rsid w:val="002661EE"/>
    <w:rsid w:val="002D0AEC"/>
    <w:rsid w:val="00611745"/>
    <w:rsid w:val="00C036B4"/>
    <w:rsid w:val="00D5384A"/>
    <w:rsid w:val="00E4404A"/>
    <w:rsid w:val="00F0032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9D91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4A"/>
    <w:pPr>
      <w:tabs>
        <w:tab w:val="left" w:pos="567"/>
      </w:tabs>
      <w:jc w:val="both"/>
    </w:pPr>
    <w:rPr>
      <w:rFonts w:ascii="Times New Roman" w:eastAsia="Times New Roman" w:hAnsi="Times New Roman" w:cs="Times New Roman"/>
      <w:noProof/>
      <w:color w:val="0000FF"/>
      <w:sz w:val="28"/>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rat">
    <w:name w:val="aparat"/>
    <w:basedOn w:val="Normal"/>
    <w:qFormat/>
    <w:rsid w:val="002D0AEC"/>
    <w:pPr>
      <w:widowControl w:val="0"/>
      <w:tabs>
        <w:tab w:val="clear" w:pos="567"/>
      </w:tabs>
      <w:autoSpaceDE w:val="0"/>
      <w:autoSpaceDN w:val="0"/>
      <w:adjustRightInd w:val="0"/>
      <w:contextualSpacing/>
    </w:pPr>
    <w:rPr>
      <w:rFonts w:ascii="Palatino Linotype" w:eastAsiaTheme="minorEastAsia" w:hAnsi="Palatino Linotype" w:cs="Helvetica"/>
      <w:bCs/>
      <w:noProof w:val="0"/>
      <w:color w:val="000000"/>
      <w:sz w:val="20"/>
      <w:lang w:val="it-IT" w:eastAsia="ca-ES"/>
    </w:rPr>
  </w:style>
  <w:style w:type="paragraph" w:customStyle="1" w:styleId="Entrada">
    <w:name w:val="Entrada"/>
    <w:basedOn w:val="Normal"/>
    <w:qFormat/>
    <w:rsid w:val="002661EE"/>
    <w:pPr>
      <w:tabs>
        <w:tab w:val="clear" w:pos="567"/>
      </w:tabs>
      <w:spacing w:after="120" w:line="276" w:lineRule="auto"/>
    </w:pPr>
    <w:rPr>
      <w:rFonts w:ascii="Palatino Linotype" w:eastAsiaTheme="minorHAnsi" w:hAnsi="Palatino Linotype" w:cstheme="minorBidi"/>
      <w:b/>
      <w:noProof w:val="0"/>
      <w:color w:val="auto"/>
      <w:sz w:val="24"/>
      <w:szCs w:val="22"/>
      <w:lang w:val="ca-ES" w:eastAsia="ca-ES"/>
    </w:rPr>
  </w:style>
  <w:style w:type="paragraph" w:customStyle="1" w:styleId="Ttol">
    <w:name w:val="Títol"/>
    <w:basedOn w:val="Normal"/>
    <w:qFormat/>
    <w:rsid w:val="002661EE"/>
    <w:pPr>
      <w:tabs>
        <w:tab w:val="clear" w:pos="567"/>
      </w:tabs>
      <w:spacing w:before="120" w:after="120" w:line="360" w:lineRule="auto"/>
    </w:pPr>
    <w:rPr>
      <w:rFonts w:ascii="Palatino Linotype" w:eastAsiaTheme="minorHAnsi" w:hAnsi="Palatino Linotype" w:cstheme="minorBidi"/>
      <w:smallCaps/>
      <w:noProof w:val="0"/>
      <w:color w:val="auto"/>
      <w:sz w:val="22"/>
      <w:szCs w:val="22"/>
      <w:lang w:val="ca-ES" w:eastAsia="ca-ES"/>
    </w:rPr>
  </w:style>
  <w:style w:type="paragraph" w:customStyle="1" w:styleId="Ttolapartat">
    <w:name w:val="Títol apartat"/>
    <w:basedOn w:val="Normal"/>
    <w:qFormat/>
    <w:rsid w:val="002661EE"/>
    <w:pPr>
      <w:tabs>
        <w:tab w:val="clear" w:pos="567"/>
      </w:tabs>
      <w:spacing w:before="120" w:after="120"/>
    </w:pPr>
    <w:rPr>
      <w:rFonts w:ascii="Palatino Linotype" w:eastAsiaTheme="minorHAnsi" w:hAnsi="Palatino Linotype" w:cstheme="minorBidi"/>
      <w:smallCaps/>
      <w:noProof w:val="0"/>
      <w:color w:val="auto"/>
      <w:sz w:val="22"/>
      <w:szCs w:val="22"/>
      <w:lang w:val="ca-ES" w:eastAsia="ca-ES"/>
    </w:rPr>
  </w:style>
  <w:style w:type="paragraph" w:customStyle="1" w:styleId="Redacci">
    <w:name w:val="Redacció"/>
    <w:basedOn w:val="Normal"/>
    <w:qFormat/>
    <w:rsid w:val="002661EE"/>
    <w:pPr>
      <w:spacing w:line="360" w:lineRule="auto"/>
    </w:pPr>
    <w:rPr>
      <w:rFonts w:ascii="Palatino Linotype" w:eastAsiaTheme="minorHAnsi" w:hAnsi="Palatino Linotype" w:cstheme="minorBidi"/>
      <w:noProof w:val="0"/>
      <w:color w:val="auto"/>
      <w:sz w:val="22"/>
      <w:szCs w:val="22"/>
      <w:lang w:val="ca-ES" w:eastAsia="ca-ES"/>
    </w:rPr>
  </w:style>
  <w:style w:type="paragraph" w:customStyle="1" w:styleId="Etimologia">
    <w:name w:val="Etimologia"/>
    <w:basedOn w:val="Normal"/>
    <w:qFormat/>
    <w:rsid w:val="002661EE"/>
    <w:pPr>
      <w:tabs>
        <w:tab w:val="clear" w:pos="567"/>
      </w:tabs>
      <w:spacing w:line="276" w:lineRule="auto"/>
    </w:pPr>
    <w:rPr>
      <w:rFonts w:ascii="Palatino Linotype" w:eastAsiaTheme="minorHAnsi" w:hAnsi="Palatino Linotype" w:cstheme="minorBidi"/>
      <w:noProof w:val="0"/>
      <w:color w:val="auto"/>
      <w:sz w:val="22"/>
      <w:szCs w:val="22"/>
      <w:lang w:val="ca-ES" w:eastAsia="ca-ES"/>
    </w:rPr>
  </w:style>
  <w:style w:type="paragraph" w:customStyle="1" w:styleId="Cites">
    <w:name w:val="Cites"/>
    <w:basedOn w:val="Normal"/>
    <w:qFormat/>
    <w:rsid w:val="002661EE"/>
    <w:pPr>
      <w:spacing w:after="160" w:line="360" w:lineRule="auto"/>
    </w:pPr>
    <w:rPr>
      <w:rFonts w:ascii="Palatino Linotype" w:eastAsiaTheme="minorHAnsi" w:hAnsi="Palatino Linotype" w:cstheme="minorBidi"/>
      <w:color w:val="auto"/>
      <w:sz w:val="22"/>
      <w:szCs w:val="22"/>
      <w:lang w:val="ca-ES" w:eastAsia="ca-ES"/>
    </w:rPr>
  </w:style>
  <w:style w:type="paragraph" w:customStyle="1" w:styleId="Ttolcites">
    <w:name w:val="Títol cites"/>
    <w:basedOn w:val="Cites"/>
    <w:qFormat/>
    <w:rsid w:val="002661EE"/>
    <w:pPr>
      <w:spacing w:after="0"/>
    </w:pPr>
  </w:style>
  <w:style w:type="paragraph" w:customStyle="1" w:styleId="Entrada2">
    <w:name w:val="Entrada 2"/>
    <w:basedOn w:val="Entrada"/>
    <w:qFormat/>
    <w:rsid w:val="002661EE"/>
    <w:pPr>
      <w:spacing w:after="240"/>
      <w:jc w:val="left"/>
    </w:pPr>
    <w:rPr>
      <w:b w:val="0"/>
      <w:noProof/>
      <w:sz w:val="22"/>
    </w:rPr>
  </w:style>
  <w:style w:type="paragraph" w:customStyle="1" w:styleId="Fonts">
    <w:name w:val="Fonts"/>
    <w:basedOn w:val="Normal"/>
    <w:qFormat/>
    <w:rsid w:val="002661EE"/>
    <w:pPr>
      <w:tabs>
        <w:tab w:val="clear" w:pos="567"/>
      </w:tabs>
      <w:spacing w:after="200"/>
      <w:ind w:left="567" w:right="567"/>
    </w:pPr>
    <w:rPr>
      <w:rFonts w:ascii="Palatino Linotype" w:eastAsiaTheme="minorHAnsi" w:hAnsi="Palatino Linotype" w:cstheme="minorBidi"/>
      <w:color w:val="auto"/>
      <w:sz w:val="22"/>
      <w:szCs w:val="22"/>
      <w:lang w:val="ca-ES" w:eastAsia="ca-ES"/>
    </w:rPr>
  </w:style>
  <w:style w:type="paragraph" w:customStyle="1" w:styleId="Bibliografia">
    <w:name w:val="Bibliografia"/>
    <w:basedOn w:val="Redacci"/>
    <w:qFormat/>
    <w:rsid w:val="00F00327"/>
    <w:pPr>
      <w:ind w:firstLine="567"/>
    </w:pPr>
  </w:style>
  <w:style w:type="paragraph" w:customStyle="1" w:styleId="comentarismeus">
    <w:name w:val="comentaris meus"/>
    <w:basedOn w:val="Normal"/>
    <w:qFormat/>
    <w:rsid w:val="00C036B4"/>
    <w:pPr>
      <w:tabs>
        <w:tab w:val="clear" w:pos="567"/>
      </w:tabs>
      <w:spacing w:after="120"/>
    </w:pPr>
    <w:rPr>
      <w:rFonts w:cstheme="minorBidi"/>
      <w:noProof w:val="0"/>
      <w:color w:val="auto"/>
      <w:sz w:val="24"/>
      <w:szCs w:val="22"/>
      <w:lang w:val="ca-ES" w:eastAsia="ca-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404A"/>
    <w:pPr>
      <w:tabs>
        <w:tab w:val="left" w:pos="567"/>
      </w:tabs>
      <w:jc w:val="both"/>
    </w:pPr>
    <w:rPr>
      <w:rFonts w:ascii="Times New Roman" w:eastAsia="Times New Roman" w:hAnsi="Times New Roman" w:cs="Times New Roman"/>
      <w:noProof/>
      <w:color w:val="0000FF"/>
      <w:sz w:val="28"/>
      <w:szCs w:val="2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rat">
    <w:name w:val="aparat"/>
    <w:basedOn w:val="Normal"/>
    <w:qFormat/>
    <w:rsid w:val="002D0AEC"/>
    <w:pPr>
      <w:widowControl w:val="0"/>
      <w:tabs>
        <w:tab w:val="clear" w:pos="567"/>
      </w:tabs>
      <w:autoSpaceDE w:val="0"/>
      <w:autoSpaceDN w:val="0"/>
      <w:adjustRightInd w:val="0"/>
      <w:contextualSpacing/>
    </w:pPr>
    <w:rPr>
      <w:rFonts w:ascii="Palatino Linotype" w:eastAsiaTheme="minorEastAsia" w:hAnsi="Palatino Linotype" w:cs="Helvetica"/>
      <w:bCs/>
      <w:noProof w:val="0"/>
      <w:color w:val="000000"/>
      <w:sz w:val="20"/>
      <w:lang w:val="it-IT" w:eastAsia="ca-ES"/>
    </w:rPr>
  </w:style>
  <w:style w:type="paragraph" w:customStyle="1" w:styleId="Entrada">
    <w:name w:val="Entrada"/>
    <w:basedOn w:val="Normal"/>
    <w:qFormat/>
    <w:rsid w:val="002661EE"/>
    <w:pPr>
      <w:tabs>
        <w:tab w:val="clear" w:pos="567"/>
      </w:tabs>
      <w:spacing w:after="120" w:line="276" w:lineRule="auto"/>
    </w:pPr>
    <w:rPr>
      <w:rFonts w:ascii="Palatino Linotype" w:eastAsiaTheme="minorHAnsi" w:hAnsi="Palatino Linotype" w:cstheme="minorBidi"/>
      <w:b/>
      <w:noProof w:val="0"/>
      <w:color w:val="auto"/>
      <w:sz w:val="24"/>
      <w:szCs w:val="22"/>
      <w:lang w:val="ca-ES" w:eastAsia="ca-ES"/>
    </w:rPr>
  </w:style>
  <w:style w:type="paragraph" w:customStyle="1" w:styleId="Ttol">
    <w:name w:val="Títol"/>
    <w:basedOn w:val="Normal"/>
    <w:qFormat/>
    <w:rsid w:val="002661EE"/>
    <w:pPr>
      <w:tabs>
        <w:tab w:val="clear" w:pos="567"/>
      </w:tabs>
      <w:spacing w:before="120" w:after="120" w:line="360" w:lineRule="auto"/>
    </w:pPr>
    <w:rPr>
      <w:rFonts w:ascii="Palatino Linotype" w:eastAsiaTheme="minorHAnsi" w:hAnsi="Palatino Linotype" w:cstheme="minorBidi"/>
      <w:smallCaps/>
      <w:noProof w:val="0"/>
      <w:color w:val="auto"/>
      <w:sz w:val="22"/>
      <w:szCs w:val="22"/>
      <w:lang w:val="ca-ES" w:eastAsia="ca-ES"/>
    </w:rPr>
  </w:style>
  <w:style w:type="paragraph" w:customStyle="1" w:styleId="Ttolapartat">
    <w:name w:val="Títol apartat"/>
    <w:basedOn w:val="Normal"/>
    <w:qFormat/>
    <w:rsid w:val="002661EE"/>
    <w:pPr>
      <w:tabs>
        <w:tab w:val="clear" w:pos="567"/>
      </w:tabs>
      <w:spacing w:before="120" w:after="120"/>
    </w:pPr>
    <w:rPr>
      <w:rFonts w:ascii="Palatino Linotype" w:eastAsiaTheme="minorHAnsi" w:hAnsi="Palatino Linotype" w:cstheme="minorBidi"/>
      <w:smallCaps/>
      <w:noProof w:val="0"/>
      <w:color w:val="auto"/>
      <w:sz w:val="22"/>
      <w:szCs w:val="22"/>
      <w:lang w:val="ca-ES" w:eastAsia="ca-ES"/>
    </w:rPr>
  </w:style>
  <w:style w:type="paragraph" w:customStyle="1" w:styleId="Redacci">
    <w:name w:val="Redacció"/>
    <w:basedOn w:val="Normal"/>
    <w:qFormat/>
    <w:rsid w:val="002661EE"/>
    <w:pPr>
      <w:spacing w:line="360" w:lineRule="auto"/>
    </w:pPr>
    <w:rPr>
      <w:rFonts w:ascii="Palatino Linotype" w:eastAsiaTheme="minorHAnsi" w:hAnsi="Palatino Linotype" w:cstheme="minorBidi"/>
      <w:noProof w:val="0"/>
      <w:color w:val="auto"/>
      <w:sz w:val="22"/>
      <w:szCs w:val="22"/>
      <w:lang w:val="ca-ES" w:eastAsia="ca-ES"/>
    </w:rPr>
  </w:style>
  <w:style w:type="paragraph" w:customStyle="1" w:styleId="Etimologia">
    <w:name w:val="Etimologia"/>
    <w:basedOn w:val="Normal"/>
    <w:qFormat/>
    <w:rsid w:val="002661EE"/>
    <w:pPr>
      <w:tabs>
        <w:tab w:val="clear" w:pos="567"/>
      </w:tabs>
      <w:spacing w:line="276" w:lineRule="auto"/>
    </w:pPr>
    <w:rPr>
      <w:rFonts w:ascii="Palatino Linotype" w:eastAsiaTheme="minorHAnsi" w:hAnsi="Palatino Linotype" w:cstheme="minorBidi"/>
      <w:noProof w:val="0"/>
      <w:color w:val="auto"/>
      <w:sz w:val="22"/>
      <w:szCs w:val="22"/>
      <w:lang w:val="ca-ES" w:eastAsia="ca-ES"/>
    </w:rPr>
  </w:style>
  <w:style w:type="paragraph" w:customStyle="1" w:styleId="Cites">
    <w:name w:val="Cites"/>
    <w:basedOn w:val="Normal"/>
    <w:qFormat/>
    <w:rsid w:val="002661EE"/>
    <w:pPr>
      <w:spacing w:after="160" w:line="360" w:lineRule="auto"/>
    </w:pPr>
    <w:rPr>
      <w:rFonts w:ascii="Palatino Linotype" w:eastAsiaTheme="minorHAnsi" w:hAnsi="Palatino Linotype" w:cstheme="minorBidi"/>
      <w:color w:val="auto"/>
      <w:sz w:val="22"/>
      <w:szCs w:val="22"/>
      <w:lang w:val="ca-ES" w:eastAsia="ca-ES"/>
    </w:rPr>
  </w:style>
  <w:style w:type="paragraph" w:customStyle="1" w:styleId="Ttolcites">
    <w:name w:val="Títol cites"/>
    <w:basedOn w:val="Cites"/>
    <w:qFormat/>
    <w:rsid w:val="002661EE"/>
    <w:pPr>
      <w:spacing w:after="0"/>
    </w:pPr>
  </w:style>
  <w:style w:type="paragraph" w:customStyle="1" w:styleId="Entrada2">
    <w:name w:val="Entrada 2"/>
    <w:basedOn w:val="Entrada"/>
    <w:qFormat/>
    <w:rsid w:val="002661EE"/>
    <w:pPr>
      <w:spacing w:after="240"/>
      <w:jc w:val="left"/>
    </w:pPr>
    <w:rPr>
      <w:b w:val="0"/>
      <w:noProof/>
      <w:sz w:val="22"/>
    </w:rPr>
  </w:style>
  <w:style w:type="paragraph" w:customStyle="1" w:styleId="Fonts">
    <w:name w:val="Fonts"/>
    <w:basedOn w:val="Normal"/>
    <w:qFormat/>
    <w:rsid w:val="002661EE"/>
    <w:pPr>
      <w:tabs>
        <w:tab w:val="clear" w:pos="567"/>
      </w:tabs>
      <w:spacing w:after="200"/>
      <w:ind w:left="567" w:right="567"/>
    </w:pPr>
    <w:rPr>
      <w:rFonts w:ascii="Palatino Linotype" w:eastAsiaTheme="minorHAnsi" w:hAnsi="Palatino Linotype" w:cstheme="minorBidi"/>
      <w:color w:val="auto"/>
      <w:sz w:val="22"/>
      <w:szCs w:val="22"/>
      <w:lang w:val="ca-ES" w:eastAsia="ca-ES"/>
    </w:rPr>
  </w:style>
  <w:style w:type="paragraph" w:customStyle="1" w:styleId="Bibliografia">
    <w:name w:val="Bibliografia"/>
    <w:basedOn w:val="Redacci"/>
    <w:qFormat/>
    <w:rsid w:val="00F00327"/>
    <w:pPr>
      <w:ind w:firstLine="567"/>
    </w:pPr>
  </w:style>
  <w:style w:type="paragraph" w:customStyle="1" w:styleId="comentarismeus">
    <w:name w:val="comentaris meus"/>
    <w:basedOn w:val="Normal"/>
    <w:qFormat/>
    <w:rsid w:val="00C036B4"/>
    <w:pPr>
      <w:tabs>
        <w:tab w:val="clear" w:pos="567"/>
      </w:tabs>
      <w:spacing w:after="120"/>
    </w:pPr>
    <w:rPr>
      <w:rFonts w:cstheme="minorBidi"/>
      <w:noProof w:val="0"/>
      <w:color w:val="auto"/>
      <w:sz w:val="24"/>
      <w:szCs w:val="22"/>
      <w:lang w:val="ca-ES"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632</Words>
  <Characters>3480</Characters>
  <Application>Microsoft Macintosh Word</Application>
  <DocSecurity>0</DocSecurity>
  <Lines>29</Lines>
  <Paragraphs>8</Paragraphs>
  <ScaleCrop>false</ScaleCrop>
  <Company>IMF-CSIC</Company>
  <LinksUpToDate>false</LinksUpToDate>
  <CharactersWithSpaces>4104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IMF-Estudis Medievals</dc:creator>
  <cp:keywords/>
  <dc:description/>
  <cp:lastModifiedBy>IMF-Estudis Medievals</cp:lastModifiedBy>
  <cp:revision>1</cp:revision>
  <dcterms:created xsi:type="dcterms:W3CDTF">2015-05-15T11:23:00Z</dcterms:created>
  <dcterms:modified xsi:type="dcterms:W3CDTF">2015-05-15T11:23:00Z</dcterms:modified>
</cp:coreProperties>
</file>