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88B79" w14:textId="77777777" w:rsidR="0051333E" w:rsidRPr="006C4599" w:rsidRDefault="0051333E" w:rsidP="00B848C2">
      <w:pPr>
        <w:jc w:val="both"/>
        <w:rPr>
          <w:rFonts w:ascii="Palatino Linotype" w:hAnsi="Palatino Linotype" w:cs="Times New Roman"/>
          <w:sz w:val="22"/>
          <w:szCs w:val="22"/>
        </w:rPr>
      </w:pPr>
      <w:r w:rsidRPr="006C4599">
        <w:rPr>
          <w:rFonts w:ascii="Palatino Linotype" w:hAnsi="Palatino Linotype" w:cs="Times New Roman"/>
          <w:sz w:val="22"/>
          <w:szCs w:val="22"/>
        </w:rPr>
        <w:t>ACB, perg. 1-1-331</w:t>
      </w:r>
    </w:p>
    <w:p w14:paraId="00AB538A" w14:textId="77777777" w:rsidR="0051333E" w:rsidRPr="006C4599" w:rsidRDefault="0051333E" w:rsidP="00B848C2">
      <w:pPr>
        <w:jc w:val="both"/>
        <w:rPr>
          <w:rFonts w:ascii="Palatino Linotype" w:hAnsi="Palatino Linotype" w:cs="Times New Roman"/>
          <w:sz w:val="22"/>
          <w:szCs w:val="22"/>
        </w:rPr>
      </w:pPr>
    </w:p>
    <w:p w14:paraId="47B0798C" w14:textId="77777777" w:rsidR="0051333E" w:rsidRPr="006C4599" w:rsidRDefault="0051333E" w:rsidP="00B848C2">
      <w:pPr>
        <w:pStyle w:val="Prrafodelista"/>
        <w:numPr>
          <w:ilvl w:val="0"/>
          <w:numId w:val="1"/>
        </w:numPr>
        <w:jc w:val="both"/>
        <w:rPr>
          <w:rFonts w:ascii="Palatino Linotype" w:hAnsi="Palatino Linotype" w:cs="Times New Roman"/>
          <w:sz w:val="22"/>
          <w:szCs w:val="22"/>
        </w:rPr>
      </w:pPr>
      <w:r w:rsidRPr="006C4599">
        <w:rPr>
          <w:rFonts w:ascii="Palatino Linotype" w:hAnsi="Palatino Linotype" w:cs="Times New Roman"/>
          <w:sz w:val="22"/>
          <w:szCs w:val="22"/>
        </w:rPr>
        <w:t>pergamino original</w:t>
      </w:r>
    </w:p>
    <w:p w14:paraId="5833D457" w14:textId="112A8012" w:rsidR="0051333E" w:rsidRPr="006C4599" w:rsidRDefault="006A39A8" w:rsidP="00B848C2">
      <w:pPr>
        <w:pStyle w:val="Prrafodelista"/>
        <w:numPr>
          <w:ilvl w:val="0"/>
          <w:numId w:val="1"/>
        </w:numPr>
        <w:jc w:val="both"/>
        <w:rPr>
          <w:rFonts w:ascii="Palatino Linotype" w:hAnsi="Palatino Linotype" w:cs="Times New Roman"/>
          <w:sz w:val="22"/>
          <w:szCs w:val="22"/>
        </w:rPr>
      </w:pPr>
      <w:r w:rsidRPr="006C4599">
        <w:rPr>
          <w:rFonts w:ascii="Palatino Linotype" w:hAnsi="Palatino Linotype" w:cs="Times New Roman"/>
          <w:sz w:val="22"/>
          <w:szCs w:val="22"/>
        </w:rPr>
        <w:t>s. XI (4 marzo 1012)</w:t>
      </w:r>
    </w:p>
    <w:p w14:paraId="5765E2CC" w14:textId="753DC9C1" w:rsidR="0051333E" w:rsidRPr="006C4599" w:rsidRDefault="0051333E" w:rsidP="00B848C2">
      <w:pPr>
        <w:pStyle w:val="Prrafodelista"/>
        <w:numPr>
          <w:ilvl w:val="0"/>
          <w:numId w:val="1"/>
        </w:numPr>
        <w:jc w:val="both"/>
        <w:rPr>
          <w:rFonts w:ascii="Palatino Linotype" w:hAnsi="Palatino Linotype" w:cs="Times New Roman"/>
          <w:sz w:val="22"/>
          <w:szCs w:val="22"/>
        </w:rPr>
      </w:pPr>
      <w:r w:rsidRPr="006C4599">
        <w:rPr>
          <w:rFonts w:ascii="Palatino Linotype" w:hAnsi="Palatino Linotype" w:cs="Times New Roman"/>
          <w:sz w:val="22"/>
          <w:szCs w:val="22"/>
        </w:rPr>
        <w:t>escritura minúscula carolina</w:t>
      </w:r>
    </w:p>
    <w:p w14:paraId="7ABA9A1A" w14:textId="77777777" w:rsidR="0051333E" w:rsidRPr="006C4599" w:rsidRDefault="0051333E" w:rsidP="00B848C2">
      <w:pPr>
        <w:pStyle w:val="Prrafodelista"/>
        <w:numPr>
          <w:ilvl w:val="0"/>
          <w:numId w:val="1"/>
        </w:numPr>
        <w:jc w:val="both"/>
        <w:rPr>
          <w:rFonts w:ascii="Palatino Linotype" w:hAnsi="Palatino Linotype" w:cs="Times New Roman"/>
          <w:sz w:val="22"/>
          <w:szCs w:val="22"/>
        </w:rPr>
      </w:pPr>
      <w:r w:rsidRPr="006C4599">
        <w:rPr>
          <w:rFonts w:ascii="Palatino Linotype" w:hAnsi="Palatino Linotype" w:cs="Times New Roman"/>
          <w:sz w:val="22"/>
          <w:szCs w:val="22"/>
        </w:rPr>
        <w:t>muy buen estado de conservación</w:t>
      </w:r>
    </w:p>
    <w:p w14:paraId="63B6CA29" w14:textId="77777777" w:rsidR="0051333E" w:rsidRPr="006C4599" w:rsidRDefault="0051333E" w:rsidP="00B848C2">
      <w:pPr>
        <w:pStyle w:val="Prrafodelista"/>
        <w:numPr>
          <w:ilvl w:val="0"/>
          <w:numId w:val="1"/>
        </w:numPr>
        <w:jc w:val="both"/>
        <w:rPr>
          <w:rFonts w:ascii="Palatino Linotype" w:hAnsi="Palatino Linotype" w:cs="Times New Roman"/>
          <w:sz w:val="22"/>
          <w:szCs w:val="22"/>
        </w:rPr>
      </w:pPr>
      <w:r w:rsidRPr="006C4599">
        <w:rPr>
          <w:rFonts w:ascii="Palatino Linotype" w:hAnsi="Palatino Linotype" w:cs="Times New Roman"/>
          <w:sz w:val="22"/>
          <w:szCs w:val="22"/>
        </w:rPr>
        <w:t>373 x 407 mm.</w:t>
      </w:r>
    </w:p>
    <w:p w14:paraId="76766454" w14:textId="77777777" w:rsidR="00B848C2" w:rsidRPr="006C4599" w:rsidRDefault="00B848C2" w:rsidP="00B848C2">
      <w:pPr>
        <w:jc w:val="both"/>
        <w:rPr>
          <w:rFonts w:ascii="Palatino Linotype" w:hAnsi="Palatino Linotype" w:cs="Times New Roman"/>
          <w:sz w:val="22"/>
          <w:szCs w:val="22"/>
        </w:rPr>
      </w:pPr>
    </w:p>
    <w:p w14:paraId="1C0DD582" w14:textId="77777777" w:rsidR="00180AE5" w:rsidRPr="006C4599" w:rsidRDefault="00180AE5" w:rsidP="00B848C2">
      <w:pPr>
        <w:jc w:val="both"/>
        <w:rPr>
          <w:rFonts w:ascii="Palatino Linotype" w:hAnsi="Palatino Linotype" w:cs="Times New Roman"/>
          <w:sz w:val="22"/>
          <w:szCs w:val="22"/>
        </w:rPr>
      </w:pPr>
    </w:p>
    <w:p w14:paraId="686194AD" w14:textId="4AA1B21C" w:rsidR="00180AE5" w:rsidRPr="006C4599" w:rsidRDefault="00180AE5"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rPr>
        <w:t xml:space="preserve">Otorgante: Deodat, </w:t>
      </w:r>
      <w:r w:rsidRPr="006C4599">
        <w:rPr>
          <w:rFonts w:ascii="Palatino Linotype" w:hAnsi="Palatino Linotype" w:cs="Times New Roman"/>
          <w:sz w:val="22"/>
          <w:szCs w:val="22"/>
        </w:rPr>
        <w:t xml:space="preserve">obispo de Barcelona, y los canónigos de la catedral de la Santa Creu i Santa Eulàlia de Barcelona </w:t>
      </w:r>
      <w:r w:rsidRPr="006C4599">
        <w:rPr>
          <w:rFonts w:ascii="Palatino Linotype" w:hAnsi="Palatino Linotype"/>
          <w:sz w:val="22"/>
          <w:szCs w:val="22"/>
        </w:rPr>
        <w:t>(</w:t>
      </w:r>
      <w:r w:rsidR="006A39A8" w:rsidRPr="006C4599">
        <w:rPr>
          <w:rFonts w:ascii="Palatino Linotype" w:hAnsi="Palatino Linotype"/>
          <w:i/>
          <w:sz w:val="22"/>
          <w:szCs w:val="22"/>
        </w:rPr>
        <w:t>Ego Deusdedit, gratia Dei episcopus, simul cum fratres meos kannonicos Sancte Crucis Sancteque Eulalie Sedis Barchinone</w:t>
      </w:r>
      <w:r w:rsidRPr="006C4599">
        <w:rPr>
          <w:rFonts w:ascii="Palatino Linotype" w:hAnsi="Palatino Linotype"/>
          <w:sz w:val="22"/>
          <w:szCs w:val="22"/>
        </w:rPr>
        <w:t>)</w:t>
      </w:r>
    </w:p>
    <w:p w14:paraId="0291A238" w14:textId="34DBFBBF" w:rsidR="00180AE5" w:rsidRPr="006C4599" w:rsidRDefault="006A39A8"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rPr>
        <w:t>Tipologí</w:t>
      </w:r>
      <w:r w:rsidR="00180AE5" w:rsidRPr="006C4599">
        <w:rPr>
          <w:rFonts w:ascii="Palatino Linotype" w:hAnsi="Palatino Linotype"/>
          <w:sz w:val="22"/>
          <w:szCs w:val="22"/>
        </w:rPr>
        <w:t xml:space="preserve">a documental: </w:t>
      </w:r>
      <w:r w:rsidRPr="006C4599">
        <w:rPr>
          <w:rFonts w:ascii="Palatino Linotype" w:hAnsi="Palatino Linotype"/>
          <w:sz w:val="22"/>
          <w:szCs w:val="22"/>
        </w:rPr>
        <w:t xml:space="preserve">compraventa de un alodio sito en el Vallés </w:t>
      </w:r>
      <w:r w:rsidR="00180AE5" w:rsidRPr="006C4599">
        <w:rPr>
          <w:rFonts w:ascii="Palatino Linotype" w:hAnsi="Palatino Linotype"/>
          <w:sz w:val="22"/>
          <w:szCs w:val="22"/>
        </w:rPr>
        <w:t>(</w:t>
      </w:r>
      <w:r w:rsidRPr="006C4599">
        <w:rPr>
          <w:rFonts w:ascii="Palatino Linotype" w:hAnsi="Palatino Linotype"/>
          <w:i/>
          <w:sz w:val="22"/>
          <w:szCs w:val="22"/>
        </w:rPr>
        <w:t>vinditores summus … Per hac scriptura venditionis nostre vindimus</w:t>
      </w:r>
      <w:r w:rsidR="00E57A9A" w:rsidRPr="006C4599">
        <w:rPr>
          <w:rFonts w:ascii="Palatino Linotype" w:hAnsi="Palatino Linotype"/>
          <w:sz w:val="22"/>
          <w:szCs w:val="22"/>
        </w:rPr>
        <w:t>;</w:t>
      </w:r>
      <w:r w:rsidR="00E57A9A" w:rsidRPr="006C4599">
        <w:rPr>
          <w:rFonts w:ascii="Palatino Linotype" w:hAnsi="Palatino Linotype"/>
          <w:i/>
          <w:sz w:val="22"/>
          <w:szCs w:val="22"/>
        </w:rPr>
        <w:t xml:space="preserve"> in comitatu barchinonense, in Vallense, in multorum eius terminio</w:t>
      </w:r>
      <w:r w:rsidR="00180AE5" w:rsidRPr="006C4599">
        <w:rPr>
          <w:rFonts w:ascii="Palatino Linotype" w:hAnsi="Palatino Linotype"/>
          <w:sz w:val="22"/>
          <w:szCs w:val="22"/>
        </w:rPr>
        <w:t>)</w:t>
      </w:r>
    </w:p>
    <w:p w14:paraId="2808EB01" w14:textId="09A388D2" w:rsidR="00180AE5" w:rsidRPr="006C4599" w:rsidRDefault="00180AE5"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rPr>
        <w:t>Beneficiari</w:t>
      </w:r>
      <w:r w:rsidR="006A39A8" w:rsidRPr="006C4599">
        <w:rPr>
          <w:rFonts w:ascii="Palatino Linotype" w:hAnsi="Palatino Linotype"/>
          <w:sz w:val="22"/>
          <w:szCs w:val="22"/>
        </w:rPr>
        <w:t>o</w:t>
      </w:r>
      <w:r w:rsidRPr="006C4599">
        <w:rPr>
          <w:rFonts w:ascii="Palatino Linotype" w:hAnsi="Palatino Linotype"/>
          <w:sz w:val="22"/>
          <w:szCs w:val="22"/>
        </w:rPr>
        <w:t xml:space="preserve">: </w:t>
      </w:r>
      <w:r w:rsidR="006A39A8" w:rsidRPr="006C4599">
        <w:rPr>
          <w:rFonts w:ascii="Palatino Linotype" w:hAnsi="Palatino Linotype" w:cs="Times New Roman"/>
          <w:sz w:val="22"/>
          <w:szCs w:val="22"/>
        </w:rPr>
        <w:t>Guitard, hijo de Arnau, noble de linaje condal (</w:t>
      </w:r>
      <w:r w:rsidR="006A39A8" w:rsidRPr="006C4599">
        <w:rPr>
          <w:rFonts w:ascii="Palatino Linotype" w:hAnsi="Palatino Linotype"/>
          <w:i/>
          <w:sz w:val="22"/>
          <w:szCs w:val="22"/>
        </w:rPr>
        <w:t>tibi Guitardus, prolem, scilicet, bone memorie condam Arnalli, procerus comitalis prosapie hortus, emptore</w:t>
      </w:r>
      <w:r w:rsidR="006A39A8" w:rsidRPr="006C4599">
        <w:rPr>
          <w:rFonts w:ascii="Palatino Linotype" w:hAnsi="Palatino Linotype" w:cs="Times New Roman"/>
          <w:sz w:val="22"/>
          <w:szCs w:val="22"/>
        </w:rPr>
        <w:t>)</w:t>
      </w:r>
    </w:p>
    <w:p w14:paraId="792C42BB" w14:textId="61C496FC" w:rsidR="00180AE5" w:rsidRPr="006C4599" w:rsidRDefault="00180AE5"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highlight w:val="yellow"/>
        </w:rPr>
        <w:t>Data topogràfica</w:t>
      </w:r>
      <w:r w:rsidRPr="006C4599">
        <w:rPr>
          <w:rFonts w:ascii="Palatino Linotype" w:hAnsi="Palatino Linotype"/>
          <w:sz w:val="22"/>
          <w:szCs w:val="22"/>
        </w:rPr>
        <w:t xml:space="preserve">: </w:t>
      </w:r>
    </w:p>
    <w:p w14:paraId="3208E7B6" w14:textId="5E21C344" w:rsidR="00180AE5" w:rsidRPr="006C4599" w:rsidRDefault="006A39A8"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rPr>
        <w:t>Data cronoló</w:t>
      </w:r>
      <w:r w:rsidR="00180AE5" w:rsidRPr="006C4599">
        <w:rPr>
          <w:rFonts w:ascii="Palatino Linotype" w:hAnsi="Palatino Linotype"/>
          <w:sz w:val="22"/>
          <w:szCs w:val="22"/>
        </w:rPr>
        <w:t xml:space="preserve">gica: </w:t>
      </w:r>
      <w:r w:rsidRPr="006C4599">
        <w:rPr>
          <w:rFonts w:ascii="Palatino Linotype" w:hAnsi="Palatino Linotype" w:cs="Times New Roman"/>
          <w:sz w:val="22"/>
          <w:szCs w:val="22"/>
        </w:rPr>
        <w:t>4 marzo 2012</w:t>
      </w:r>
      <w:r w:rsidR="00180AE5" w:rsidRPr="006C4599">
        <w:rPr>
          <w:rFonts w:ascii="Palatino Linotype" w:hAnsi="Palatino Linotype"/>
          <w:sz w:val="22"/>
          <w:szCs w:val="22"/>
        </w:rPr>
        <w:t xml:space="preserve"> (</w:t>
      </w:r>
      <w:r w:rsidRPr="006C4599">
        <w:rPr>
          <w:rFonts w:ascii="Palatino Linotype" w:hAnsi="Palatino Linotype"/>
          <w:i/>
          <w:sz w:val="22"/>
          <w:szCs w:val="22"/>
        </w:rPr>
        <w:t>Facta venditione prefato cum conventu IIII nonas martii, anno XVI regnante Roberto rege, filium condam Hugoni</w:t>
      </w:r>
      <w:r w:rsidR="00180AE5" w:rsidRPr="006C4599">
        <w:rPr>
          <w:rFonts w:ascii="Palatino Linotype" w:hAnsi="Palatino Linotype"/>
          <w:sz w:val="22"/>
          <w:szCs w:val="22"/>
        </w:rPr>
        <w:t>)</w:t>
      </w:r>
    </w:p>
    <w:p w14:paraId="1AADFAA0" w14:textId="5B1BAA03" w:rsidR="00180AE5" w:rsidRPr="006C4599" w:rsidRDefault="00180AE5" w:rsidP="00180AE5">
      <w:pPr>
        <w:pStyle w:val="Prrafodelista"/>
        <w:numPr>
          <w:ilvl w:val="0"/>
          <w:numId w:val="2"/>
        </w:numPr>
        <w:spacing w:after="200" w:line="276" w:lineRule="auto"/>
        <w:jc w:val="both"/>
        <w:rPr>
          <w:rFonts w:ascii="Palatino Linotype" w:hAnsi="Palatino Linotype"/>
          <w:sz w:val="22"/>
          <w:szCs w:val="22"/>
        </w:rPr>
      </w:pPr>
      <w:r w:rsidRPr="006C4599">
        <w:rPr>
          <w:rFonts w:ascii="Palatino Linotype" w:hAnsi="Palatino Linotype"/>
          <w:sz w:val="22"/>
          <w:szCs w:val="22"/>
        </w:rPr>
        <w:t xml:space="preserve">Redactor (autor material): </w:t>
      </w:r>
      <w:r w:rsidR="006A39A8" w:rsidRPr="006C4599">
        <w:rPr>
          <w:rFonts w:ascii="Palatino Linotype" w:hAnsi="Palatino Linotype"/>
          <w:sz w:val="22"/>
          <w:szCs w:val="22"/>
        </w:rPr>
        <w:t xml:space="preserve">Bonsom, levita y redactor </w:t>
      </w:r>
      <w:r w:rsidRPr="006C4599">
        <w:rPr>
          <w:rFonts w:ascii="Palatino Linotype" w:hAnsi="Palatino Linotype"/>
          <w:sz w:val="22"/>
          <w:szCs w:val="22"/>
        </w:rPr>
        <w:t>(</w:t>
      </w:r>
      <w:r w:rsidR="006A39A8" w:rsidRPr="006C4599">
        <w:rPr>
          <w:rFonts w:ascii="Palatino Linotype" w:hAnsi="Palatino Linotype"/>
          <w:i/>
          <w:sz w:val="22"/>
          <w:szCs w:val="22"/>
        </w:rPr>
        <w:t>Bonushomo levita, exarator et sss sub die et anno prefixo</w:t>
      </w:r>
      <w:r w:rsidRPr="006C4599">
        <w:rPr>
          <w:rFonts w:ascii="Palatino Linotype" w:hAnsi="Palatino Linotype"/>
          <w:sz w:val="22"/>
          <w:szCs w:val="22"/>
        </w:rPr>
        <w:t xml:space="preserve">) </w:t>
      </w:r>
    </w:p>
    <w:p w14:paraId="3B4A0214" w14:textId="77777777" w:rsidR="00E57A9A" w:rsidRPr="006C4599" w:rsidRDefault="00E57A9A" w:rsidP="00E57A9A">
      <w:pPr>
        <w:spacing w:after="200" w:line="276" w:lineRule="auto"/>
        <w:jc w:val="both"/>
        <w:rPr>
          <w:rFonts w:ascii="Palatino Linotype" w:hAnsi="Palatino Linotype"/>
          <w:sz w:val="22"/>
          <w:szCs w:val="22"/>
        </w:rPr>
      </w:pPr>
    </w:p>
    <w:p w14:paraId="71CFA43B" w14:textId="72B05312" w:rsidR="00E57A9A" w:rsidRPr="006C4599" w:rsidRDefault="00E57A9A" w:rsidP="00E57A9A">
      <w:pPr>
        <w:jc w:val="both"/>
        <w:rPr>
          <w:rFonts w:ascii="Palatino Linotype" w:hAnsi="Palatino Linotype" w:cs="Times New Roman"/>
          <w:sz w:val="22"/>
          <w:szCs w:val="22"/>
        </w:rPr>
      </w:pPr>
      <w:r w:rsidRPr="006C4599">
        <w:rPr>
          <w:rFonts w:ascii="Palatino Linotype" w:hAnsi="Palatino Linotype" w:cs="Times New Roman"/>
          <w:sz w:val="22"/>
          <w:szCs w:val="22"/>
        </w:rPr>
        <w:t>El redactor del documento es precisamente el jurista B</w:t>
      </w:r>
      <w:r w:rsidR="00036F61" w:rsidRPr="006C4599">
        <w:rPr>
          <w:rFonts w:ascii="Palatino Linotype" w:hAnsi="Palatino Linotype" w:cs="Times New Roman"/>
          <w:sz w:val="22"/>
          <w:szCs w:val="22"/>
        </w:rPr>
        <w:t>onushomo, hombre culto e instrui</w:t>
      </w:r>
      <w:r w:rsidRPr="006C4599">
        <w:rPr>
          <w:rFonts w:ascii="Palatino Linotype" w:hAnsi="Palatino Linotype" w:cs="Times New Roman"/>
          <w:sz w:val="22"/>
          <w:szCs w:val="22"/>
        </w:rPr>
        <w:t xml:space="preserve">do que estaba profundamente familiarizado con la obra de Isidoro de Sevilla, así como con diversos glosarios contemporáneos. </w:t>
      </w:r>
      <w:r w:rsidRPr="006C4599">
        <w:rPr>
          <w:rFonts w:ascii="Palatino Linotype" w:hAnsi="Palatino Linotype" w:cs="Times New Roman"/>
          <w:sz w:val="22"/>
          <w:szCs w:val="22"/>
          <w:highlight w:val="yellow"/>
        </w:rPr>
        <w:t>(ampliar info sobre la figura de Bonsom??)</w:t>
      </w:r>
    </w:p>
    <w:p w14:paraId="0482F270" w14:textId="668FA5BB" w:rsidR="00E57A9A" w:rsidRPr="006C4599" w:rsidRDefault="00E57A9A" w:rsidP="00E57A9A">
      <w:pPr>
        <w:jc w:val="both"/>
        <w:rPr>
          <w:rFonts w:ascii="Palatino Linotype" w:hAnsi="Palatino Linotype" w:cs="Times New Roman"/>
          <w:sz w:val="22"/>
          <w:szCs w:val="22"/>
        </w:rPr>
      </w:pPr>
      <w:r w:rsidRPr="006C4599">
        <w:rPr>
          <w:rFonts w:ascii="Palatino Linotype" w:hAnsi="Palatino Linotype" w:cs="Times New Roman"/>
          <w:sz w:val="22"/>
          <w:szCs w:val="22"/>
        </w:rPr>
        <w:t>El otorgante, el obispo de Barcelona Deodat, havia recibido dicho alodio de parte de su tío?? paterno?? (</w:t>
      </w:r>
      <w:r w:rsidRPr="006C4599">
        <w:rPr>
          <w:rFonts w:ascii="Palatino Linotype" w:hAnsi="Palatino Linotype" w:cs="Times New Roman"/>
          <w:i/>
          <w:sz w:val="22"/>
          <w:szCs w:val="22"/>
        </w:rPr>
        <w:t>patruelis mei</w:t>
      </w:r>
      <w:r w:rsidRPr="006C4599">
        <w:rPr>
          <w:rFonts w:ascii="Palatino Linotype" w:hAnsi="Palatino Linotype" w:cs="Times New Roman"/>
          <w:sz w:val="22"/>
          <w:szCs w:val="22"/>
        </w:rPr>
        <w:t>)</w:t>
      </w:r>
      <w:r w:rsidR="00B13C0E">
        <w:rPr>
          <w:rFonts w:ascii="Palatino Linotype" w:hAnsi="Palatino Linotype" w:cs="Times New Roman"/>
          <w:sz w:val="22"/>
          <w:szCs w:val="22"/>
        </w:rPr>
        <w:t xml:space="preserve"> Ll</w:t>
      </w:r>
      <w:r w:rsidR="00036F61" w:rsidRPr="006C4599">
        <w:rPr>
          <w:rFonts w:ascii="Palatino Linotype" w:hAnsi="Palatino Linotype" w:cs="Times New Roman"/>
          <w:sz w:val="22"/>
          <w:szCs w:val="22"/>
        </w:rPr>
        <w:t>obet (</w:t>
      </w:r>
      <w:r w:rsidR="00036F61" w:rsidRPr="006C4599">
        <w:rPr>
          <w:rFonts w:ascii="Palatino Linotype" w:hAnsi="Palatino Linotype" w:cs="Times New Roman"/>
          <w:i/>
          <w:sz w:val="22"/>
          <w:szCs w:val="22"/>
        </w:rPr>
        <w:t>archigerontus Lupetus</w:t>
      </w:r>
      <w:r w:rsidR="00036F61" w:rsidRPr="006C4599">
        <w:rPr>
          <w:rFonts w:ascii="Palatino Linotype" w:hAnsi="Palatino Linotype" w:cs="Times New Roman"/>
          <w:sz w:val="22"/>
          <w:szCs w:val="22"/>
        </w:rPr>
        <w:t xml:space="preserve">; </w:t>
      </w:r>
      <w:r w:rsidR="00036F61" w:rsidRPr="006C4599">
        <w:rPr>
          <w:rFonts w:ascii="Palatino Linotype" w:hAnsi="Palatino Linotype" w:cs="Times New Roman"/>
          <w:sz w:val="22"/>
          <w:szCs w:val="22"/>
          <w:highlight w:val="yellow"/>
        </w:rPr>
        <w:t>Llobet de Barcelona?</w:t>
      </w:r>
      <w:r w:rsidR="00036F61" w:rsidRPr="006C4599">
        <w:rPr>
          <w:rFonts w:ascii="Palatino Linotype" w:hAnsi="Palatino Linotype" w:cs="Times New Roman"/>
          <w:sz w:val="22"/>
          <w:szCs w:val="22"/>
        </w:rPr>
        <w:t>); (</w:t>
      </w:r>
      <w:r w:rsidR="00036F61" w:rsidRPr="006C4599">
        <w:rPr>
          <w:rFonts w:ascii="Palatino Linotype" w:hAnsi="Palatino Linotype"/>
          <w:i/>
          <w:sz w:val="22"/>
          <w:szCs w:val="22"/>
        </w:rPr>
        <w:t>Qui mihi advenit ad me presul per largitionem condam patruelis mei, bone memorie archigerontus Lupetus, et ad nos fratres per unitatem conexionis nostre mater ecclesie</w:t>
      </w:r>
      <w:r w:rsidR="00036F61" w:rsidRPr="006C4599">
        <w:rPr>
          <w:rFonts w:ascii="Palatino Linotype" w:hAnsi="Palatino Linotype" w:cs="Times New Roman"/>
          <w:sz w:val="22"/>
          <w:szCs w:val="22"/>
        </w:rPr>
        <w:t>)</w:t>
      </w:r>
    </w:p>
    <w:p w14:paraId="59A7BB59" w14:textId="77777777" w:rsidR="008E6033" w:rsidRPr="006C4599" w:rsidRDefault="008E6033" w:rsidP="00E57A9A">
      <w:pPr>
        <w:jc w:val="both"/>
        <w:rPr>
          <w:rFonts w:ascii="Palatino Linotype" w:hAnsi="Palatino Linotype" w:cs="Times New Roman"/>
          <w:sz w:val="22"/>
          <w:szCs w:val="22"/>
        </w:rPr>
      </w:pPr>
    </w:p>
    <w:p w14:paraId="12CB1A3B" w14:textId="2B9DBF20" w:rsidR="008E6033" w:rsidRPr="006C4599" w:rsidRDefault="008E6033" w:rsidP="00E57A9A">
      <w:pPr>
        <w:jc w:val="both"/>
        <w:rPr>
          <w:rFonts w:ascii="Palatino Linotype" w:hAnsi="Palatino Linotype" w:cs="Times New Roman"/>
          <w:sz w:val="22"/>
          <w:szCs w:val="22"/>
        </w:rPr>
      </w:pPr>
      <w:r w:rsidRPr="006C4599">
        <w:rPr>
          <w:rFonts w:ascii="Palatino Linotype" w:hAnsi="Palatino Linotype" w:cs="Times New Roman"/>
          <w:sz w:val="22"/>
          <w:szCs w:val="22"/>
        </w:rPr>
        <w:t>Sin ser un documento de carácter solemne, encontramos en el acto que se describe la participación de diversos personajes pertenecientes al estrato alto de la sociedad catalana del momento:</w:t>
      </w:r>
    </w:p>
    <w:p w14:paraId="3B6EFAF1" w14:textId="77777777" w:rsidR="008E6033" w:rsidRPr="006C4599" w:rsidRDefault="008E6033" w:rsidP="00E57A9A">
      <w:pPr>
        <w:jc w:val="both"/>
        <w:rPr>
          <w:rFonts w:ascii="Palatino Linotype" w:hAnsi="Palatino Linotype" w:cs="Times New Roman"/>
          <w:sz w:val="22"/>
          <w:szCs w:val="22"/>
        </w:rPr>
      </w:pPr>
    </w:p>
    <w:p w14:paraId="5DBA04B7" w14:textId="6A99B3C9" w:rsidR="008E6033" w:rsidRPr="006C4599" w:rsidRDefault="008E6033" w:rsidP="008E6033">
      <w:pPr>
        <w:pStyle w:val="Prrafodelista"/>
        <w:numPr>
          <w:ilvl w:val="0"/>
          <w:numId w:val="2"/>
        </w:numPr>
        <w:jc w:val="both"/>
        <w:rPr>
          <w:rFonts w:ascii="Palatino Linotype" w:hAnsi="Palatino Linotype" w:cs="Times New Roman"/>
          <w:sz w:val="22"/>
          <w:szCs w:val="22"/>
        </w:rPr>
      </w:pPr>
      <w:r w:rsidRPr="006C4599">
        <w:rPr>
          <w:rFonts w:ascii="Palatino Linotype" w:hAnsi="Palatino Linotype" w:cs="Times New Roman"/>
          <w:sz w:val="22"/>
          <w:szCs w:val="22"/>
        </w:rPr>
        <w:t>obispo de Barcelona Deodat</w:t>
      </w:r>
    </w:p>
    <w:p w14:paraId="4453D55E" w14:textId="3AE8BB68" w:rsidR="008E6033" w:rsidRPr="006C4599" w:rsidRDefault="008E6033" w:rsidP="008E6033">
      <w:pPr>
        <w:pStyle w:val="Prrafodelista"/>
        <w:numPr>
          <w:ilvl w:val="0"/>
          <w:numId w:val="2"/>
        </w:numPr>
        <w:jc w:val="both"/>
        <w:rPr>
          <w:rFonts w:ascii="Palatino Linotype" w:hAnsi="Palatino Linotype" w:cs="Times New Roman"/>
          <w:sz w:val="22"/>
          <w:szCs w:val="22"/>
        </w:rPr>
      </w:pPr>
      <w:r w:rsidRPr="006C4599">
        <w:rPr>
          <w:rFonts w:ascii="Palatino Linotype" w:hAnsi="Palatino Linotype" w:cs="Times New Roman"/>
          <w:sz w:val="22"/>
          <w:szCs w:val="22"/>
        </w:rPr>
        <w:t>Bonsom, jurista, personaje culto y fundador de la escuela jurídica de Barcelona</w:t>
      </w:r>
    </w:p>
    <w:p w14:paraId="435A6A72" w14:textId="1DB2A7AB" w:rsidR="006A43BC" w:rsidRPr="006C4599" w:rsidRDefault="006A43BC" w:rsidP="008E6033">
      <w:pPr>
        <w:pStyle w:val="Prrafodelista"/>
        <w:numPr>
          <w:ilvl w:val="0"/>
          <w:numId w:val="2"/>
        </w:numPr>
        <w:jc w:val="both"/>
        <w:rPr>
          <w:rFonts w:ascii="Palatino Linotype" w:hAnsi="Palatino Linotype" w:cs="Times New Roman"/>
          <w:sz w:val="22"/>
          <w:szCs w:val="22"/>
        </w:rPr>
      </w:pPr>
      <w:r w:rsidRPr="006C4599">
        <w:rPr>
          <w:rFonts w:ascii="Palatino Linotype" w:hAnsi="Palatino Linotype" w:cs="Times New Roman"/>
          <w:sz w:val="22"/>
          <w:szCs w:val="22"/>
        </w:rPr>
        <w:t>el beneficiario Guitard, descendiente de linaje noble</w:t>
      </w:r>
    </w:p>
    <w:p w14:paraId="7EB26AA8" w14:textId="526819D9" w:rsidR="006A43BC" w:rsidRPr="006C4599" w:rsidRDefault="006A43BC" w:rsidP="008E6033">
      <w:pPr>
        <w:pStyle w:val="Prrafodelista"/>
        <w:numPr>
          <w:ilvl w:val="0"/>
          <w:numId w:val="2"/>
        </w:numPr>
        <w:jc w:val="both"/>
        <w:rPr>
          <w:rFonts w:ascii="Palatino Linotype" w:hAnsi="Palatino Linotype" w:cs="Times New Roman"/>
          <w:sz w:val="22"/>
          <w:szCs w:val="22"/>
        </w:rPr>
      </w:pPr>
      <w:r w:rsidRPr="006C4599">
        <w:rPr>
          <w:rFonts w:ascii="Palatino Linotype" w:hAnsi="Palatino Linotype" w:cs="Times New Roman"/>
          <w:sz w:val="22"/>
          <w:szCs w:val="22"/>
        </w:rPr>
        <w:t>además, el alodio en cuestión había pertenecido a Llobet de Barcelona</w:t>
      </w:r>
      <w:r w:rsidR="0099186F" w:rsidRPr="006C4599">
        <w:rPr>
          <w:rFonts w:ascii="Palatino Linotype" w:hAnsi="Palatino Linotype" w:cs="Times New Roman"/>
          <w:sz w:val="22"/>
          <w:szCs w:val="22"/>
          <w:highlight w:val="yellow"/>
        </w:rPr>
        <w:t>…</w:t>
      </w:r>
    </w:p>
    <w:p w14:paraId="79274003" w14:textId="5FD8C672" w:rsidR="00E57A9A" w:rsidRPr="006C4599" w:rsidRDefault="00E97525" w:rsidP="00E57A9A">
      <w:pPr>
        <w:spacing w:after="200" w:line="276" w:lineRule="auto"/>
        <w:jc w:val="both"/>
        <w:rPr>
          <w:rFonts w:ascii="Palatino Linotype" w:hAnsi="Palatino Linotype"/>
          <w:sz w:val="22"/>
          <w:szCs w:val="22"/>
        </w:rPr>
      </w:pPr>
      <w:r>
        <w:rPr>
          <w:rFonts w:ascii="Palatino Linotype" w:hAnsi="Palatino Linotype"/>
          <w:sz w:val="22"/>
          <w:szCs w:val="22"/>
        </w:rPr>
        <w:t xml:space="preserve">Este hecho justificaría la presencia de términos cultos y de pasajes extraídos de las etimologías. Y es que en documentos de carácter marcadamente pragmático como es el </w:t>
      </w:r>
      <w:r>
        <w:rPr>
          <w:rFonts w:ascii="Palatino Linotype" w:hAnsi="Palatino Linotype"/>
          <w:sz w:val="22"/>
          <w:szCs w:val="22"/>
        </w:rPr>
        <w:lastRenderedPageBreak/>
        <w:t>caso de una compraventa, sorprende la presencia de helenismo</w:t>
      </w:r>
      <w:r w:rsidR="003D66B4">
        <w:rPr>
          <w:rFonts w:ascii="Palatino Linotype" w:hAnsi="Palatino Linotype"/>
          <w:sz w:val="22"/>
          <w:szCs w:val="22"/>
        </w:rPr>
        <w:t>s</w:t>
      </w:r>
      <w:r>
        <w:rPr>
          <w:rFonts w:ascii="Palatino Linotype" w:hAnsi="Palatino Linotype"/>
          <w:sz w:val="22"/>
          <w:szCs w:val="22"/>
        </w:rPr>
        <w:t>, términos cultos</w:t>
      </w:r>
      <w:r w:rsidR="003D66B4">
        <w:rPr>
          <w:rFonts w:ascii="Palatino Linotype" w:hAnsi="Palatino Linotype"/>
          <w:sz w:val="22"/>
          <w:szCs w:val="22"/>
        </w:rPr>
        <w:t xml:space="preserve"> y un lenguaje técnico y especializado cuyos vocablos aparecen únicamente en el presente documento, y no se vuelven a repetir en la totalidad del corpus conformado por la documentación latina de la Cataluña alto medieval.</w:t>
      </w:r>
    </w:p>
    <w:p w14:paraId="4B58C8BF" w14:textId="77777777" w:rsidR="00B848C2" w:rsidRDefault="00B848C2" w:rsidP="00B848C2">
      <w:pPr>
        <w:jc w:val="both"/>
        <w:rPr>
          <w:rFonts w:ascii="Palatino Linotype" w:hAnsi="Palatino Linotype" w:cs="Times New Roman"/>
          <w:sz w:val="22"/>
          <w:szCs w:val="22"/>
        </w:rPr>
      </w:pPr>
      <w:bookmarkStart w:id="0" w:name="OLE_LINK3"/>
      <w:bookmarkStart w:id="1" w:name="OLE_LINK4"/>
      <w:r w:rsidRPr="006C4599">
        <w:rPr>
          <w:rFonts w:ascii="Palatino Linotype" w:hAnsi="Palatino Linotype" w:cs="Times New Roman"/>
          <w:sz w:val="22"/>
          <w:szCs w:val="22"/>
        </w:rPr>
        <w:t xml:space="preserve">El pergamino 1-1-1331 del Archivo Capitular de la Catedral de Barcelona contiene una compraventa de principios del siglo XI (4 marzo 1012) entre el obispo de Barcelona Deodat (y los canónigos de la catedral) y Guitard, hijo de Arnau, noble de linaje condal. En la transacción, en la cual se vende un alodio sito en el Vallés, se ofrece una descripción de todo lo que incluye dicho alodio, procedimiento habitual en este tipo de diplomas. Pero lo que diferencia el documento en cuestión es la enumeración exhaustiva y detallada del contenido del alodio, en que destacan listas de términos organizados semánticamente. Así, nos encontramos ante una serie de ejemplos del lenguaje técnico y especializado para describir las delimitaciones y partes del edificio, léxico referente al almacenamiento y despensa, a utensilios y recipientes o, particularmente, vocabulario relativo a la vid y a los distintos tipos de uva. Con la presente comunicación pretendemos analizar el uso de algunos de estos vocablos, que parecen haber penetrado en el documento por influencia directa de las </w:t>
      </w:r>
      <w:r w:rsidRPr="006C4599">
        <w:rPr>
          <w:rFonts w:ascii="Palatino Linotype" w:hAnsi="Palatino Linotype" w:cs="Times New Roman"/>
          <w:i/>
          <w:sz w:val="22"/>
          <w:szCs w:val="22"/>
        </w:rPr>
        <w:t>Etymologiae</w:t>
      </w:r>
      <w:r w:rsidRPr="006C4599">
        <w:rPr>
          <w:rFonts w:ascii="Palatino Linotype" w:hAnsi="Palatino Linotype" w:cs="Times New Roman"/>
          <w:sz w:val="22"/>
          <w:szCs w:val="22"/>
        </w:rPr>
        <w:t xml:space="preserve"> de Isidoro de Sevilla, especialmente de los libros XVII y XX.</w:t>
      </w:r>
      <w:bookmarkEnd w:id="0"/>
      <w:bookmarkEnd w:id="1"/>
    </w:p>
    <w:p w14:paraId="0F82BFF1" w14:textId="77777777" w:rsidR="00DB13AF" w:rsidRDefault="00DB13AF" w:rsidP="00B848C2">
      <w:pPr>
        <w:jc w:val="both"/>
        <w:rPr>
          <w:rFonts w:ascii="Palatino Linotype" w:hAnsi="Palatino Linotype" w:cs="Times New Roman"/>
          <w:sz w:val="22"/>
          <w:szCs w:val="22"/>
        </w:rPr>
      </w:pPr>
    </w:p>
    <w:p w14:paraId="260A494F" w14:textId="70A56E29" w:rsidR="00DB13AF" w:rsidRDefault="00DB13AF" w:rsidP="00B848C2">
      <w:pPr>
        <w:jc w:val="both"/>
        <w:rPr>
          <w:rFonts w:ascii="Palatino Linotype" w:hAnsi="Palatino Linotype" w:cs="Times New Roman"/>
          <w:sz w:val="22"/>
          <w:szCs w:val="22"/>
        </w:rPr>
      </w:pPr>
      <w:r w:rsidRPr="00593544">
        <w:rPr>
          <w:rFonts w:ascii="Palatino Linotype" w:hAnsi="Palatino Linotype" w:cs="Times New Roman"/>
          <w:sz w:val="22"/>
          <w:szCs w:val="22"/>
        </w:rPr>
        <w:t xml:space="preserve">El propio Isidoro cita sus </w:t>
      </w:r>
      <w:r w:rsidR="00AB6436">
        <w:rPr>
          <w:rFonts w:ascii="Palatino Linotype" w:hAnsi="Palatino Linotype" w:cs="Times New Roman"/>
          <w:sz w:val="22"/>
          <w:szCs w:val="22"/>
        </w:rPr>
        <w:t>f</w:t>
      </w:r>
      <w:r w:rsidRPr="00593544">
        <w:rPr>
          <w:rFonts w:ascii="Palatino Linotype" w:hAnsi="Palatino Linotype" w:cs="Times New Roman"/>
          <w:sz w:val="22"/>
          <w:szCs w:val="22"/>
        </w:rPr>
        <w:t>uentes al inicio del libro X</w:t>
      </w:r>
      <w:r w:rsidR="00AB6436">
        <w:rPr>
          <w:rFonts w:ascii="Palatino Linotype" w:hAnsi="Palatino Linotype" w:cs="Times New Roman"/>
          <w:sz w:val="22"/>
          <w:szCs w:val="22"/>
        </w:rPr>
        <w:t>VII (</w:t>
      </w:r>
      <w:r w:rsidR="00AB6436" w:rsidRPr="00AB6436">
        <w:rPr>
          <w:rFonts w:ascii="Palatino Linotype" w:hAnsi="Palatino Linotype" w:cs="Times New Roman"/>
          <w:i/>
          <w:sz w:val="22"/>
          <w:szCs w:val="22"/>
        </w:rPr>
        <w:t>De rebus rusticis</w:t>
      </w:r>
      <w:r w:rsidR="00AB6436">
        <w:rPr>
          <w:rFonts w:ascii="Palatino Linotype" w:hAnsi="Palatino Linotype" w:cs="Times New Roman"/>
          <w:sz w:val="22"/>
          <w:szCs w:val="22"/>
        </w:rPr>
        <w:t>)</w:t>
      </w:r>
      <w:r w:rsidR="00593544" w:rsidRPr="00593544">
        <w:rPr>
          <w:rFonts w:ascii="Palatino Linotype" w:hAnsi="Palatino Linotype" w:cs="Times New Roman"/>
          <w:sz w:val="22"/>
          <w:szCs w:val="22"/>
        </w:rPr>
        <w:t>.</w:t>
      </w:r>
    </w:p>
    <w:p w14:paraId="157FFC3B" w14:textId="2E3539D0" w:rsidR="00AB6436" w:rsidRDefault="00AB6436" w:rsidP="00B848C2">
      <w:pPr>
        <w:jc w:val="both"/>
        <w:rPr>
          <w:rFonts w:ascii="Palatino Linotype" w:hAnsi="Palatino Linotype" w:cs="Times New Roman"/>
          <w:sz w:val="22"/>
          <w:szCs w:val="22"/>
        </w:rPr>
      </w:pPr>
      <w:r w:rsidRPr="00AB6436">
        <w:rPr>
          <w:rFonts w:ascii="Palatino Linotype" w:hAnsi="Palatino Linotype" w:cs="Times New Roman"/>
          <w:i/>
          <w:sz w:val="22"/>
          <w:szCs w:val="22"/>
        </w:rPr>
        <w:t>Etym.</w:t>
      </w:r>
      <w:r>
        <w:rPr>
          <w:rFonts w:ascii="Palatino Linotype" w:hAnsi="Palatino Linotype" w:cs="Times New Roman"/>
          <w:sz w:val="22"/>
          <w:szCs w:val="22"/>
        </w:rPr>
        <w:t xml:space="preserve"> XVII 1 (</w:t>
      </w:r>
      <w:r>
        <w:rPr>
          <w:rFonts w:ascii="Palatino Linotype" w:hAnsi="Palatino Linotype" w:cs="Times New Roman"/>
          <w:i/>
          <w:sz w:val="22"/>
          <w:szCs w:val="22"/>
        </w:rPr>
        <w:t>De auctoribus rerum rusticarum</w:t>
      </w:r>
      <w:r>
        <w:rPr>
          <w:rFonts w:ascii="Palatino Linotype" w:hAnsi="Palatino Linotype" w:cs="Times New Roman"/>
          <w:sz w:val="22"/>
          <w:szCs w:val="22"/>
        </w:rPr>
        <w:t>)</w:t>
      </w:r>
      <w:r w:rsidR="00576128">
        <w:rPr>
          <w:rFonts w:ascii="Palatino Linotype" w:hAnsi="Palatino Linotype" w:cs="Times New Roman"/>
          <w:sz w:val="22"/>
          <w:szCs w:val="22"/>
        </w:rPr>
        <w:t>:</w:t>
      </w:r>
    </w:p>
    <w:p w14:paraId="12B7BF5E" w14:textId="1B4F8342" w:rsidR="00576128" w:rsidRDefault="00576128" w:rsidP="00B848C2">
      <w:pPr>
        <w:jc w:val="both"/>
        <w:rPr>
          <w:rFonts w:ascii="Palatino Linotype" w:hAnsi="Palatino Linotype" w:cs="Times New Roman"/>
          <w:sz w:val="22"/>
          <w:szCs w:val="22"/>
        </w:rPr>
      </w:pPr>
      <w:r>
        <w:rPr>
          <w:rFonts w:ascii="Palatino Linotype" w:hAnsi="Palatino Linotype" w:cs="Times New Roman"/>
          <w:sz w:val="22"/>
          <w:szCs w:val="22"/>
        </w:rPr>
        <w:t>Griegos:</w:t>
      </w:r>
    </w:p>
    <w:p w14:paraId="4AF7B109" w14:textId="17D91913" w:rsidR="00576128" w:rsidRDefault="00576128" w:rsidP="00576128">
      <w:pPr>
        <w:pStyle w:val="Prrafodelista"/>
        <w:numPr>
          <w:ilvl w:val="0"/>
          <w:numId w:val="2"/>
        </w:numPr>
        <w:jc w:val="both"/>
        <w:rPr>
          <w:rFonts w:ascii="Palatino Linotype" w:hAnsi="Palatino Linotype" w:cs="Times New Roman"/>
          <w:sz w:val="22"/>
          <w:szCs w:val="22"/>
        </w:rPr>
      </w:pPr>
      <w:r w:rsidRPr="00576128">
        <w:rPr>
          <w:rFonts w:ascii="Palatino Linotype" w:hAnsi="Palatino Linotype" w:cs="Times New Roman"/>
          <w:sz w:val="22"/>
          <w:szCs w:val="22"/>
        </w:rPr>
        <w:t>Hesíodo</w:t>
      </w:r>
    </w:p>
    <w:p w14:paraId="7A323573" w14:textId="77115264"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Demócrito</w:t>
      </w:r>
    </w:p>
    <w:p w14:paraId="030522B6" w14:textId="0FC88616"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Magón</w:t>
      </w:r>
    </w:p>
    <w:p w14:paraId="07CAF292" w14:textId="079C8379" w:rsidR="00576128" w:rsidRDefault="00576128" w:rsidP="00576128">
      <w:pPr>
        <w:jc w:val="both"/>
        <w:rPr>
          <w:rFonts w:ascii="Palatino Linotype" w:hAnsi="Palatino Linotype" w:cs="Times New Roman"/>
          <w:sz w:val="22"/>
          <w:szCs w:val="22"/>
        </w:rPr>
      </w:pPr>
      <w:r>
        <w:rPr>
          <w:rFonts w:ascii="Palatino Linotype" w:hAnsi="Palatino Linotype" w:cs="Times New Roman"/>
          <w:sz w:val="22"/>
          <w:szCs w:val="22"/>
        </w:rPr>
        <w:t>Romanos:</w:t>
      </w:r>
    </w:p>
    <w:p w14:paraId="16F672BD" w14:textId="5D62E744" w:rsidR="00576128" w:rsidRPr="00576128" w:rsidRDefault="00576128" w:rsidP="00576128">
      <w:pPr>
        <w:pStyle w:val="Prrafodelista"/>
        <w:numPr>
          <w:ilvl w:val="0"/>
          <w:numId w:val="2"/>
        </w:numPr>
        <w:jc w:val="both"/>
        <w:rPr>
          <w:rFonts w:ascii="Palatino Linotype" w:hAnsi="Palatino Linotype" w:cs="Times New Roman"/>
          <w:sz w:val="22"/>
          <w:szCs w:val="22"/>
        </w:rPr>
      </w:pPr>
      <w:r w:rsidRPr="00576128">
        <w:rPr>
          <w:rFonts w:ascii="Palatino Linotype" w:hAnsi="Palatino Linotype" w:cs="Times New Roman"/>
          <w:sz w:val="22"/>
          <w:szCs w:val="22"/>
        </w:rPr>
        <w:t>Catón</w:t>
      </w:r>
    </w:p>
    <w:p w14:paraId="1798989A" w14:textId="0341B797"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Marco Terencio</w:t>
      </w:r>
    </w:p>
    <w:p w14:paraId="01285496" w14:textId="01FC19CF"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Virgilio</w:t>
      </w:r>
    </w:p>
    <w:p w14:paraId="0B2CDF12" w14:textId="4DFEFD87"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Cornelio Celso</w:t>
      </w:r>
    </w:p>
    <w:p w14:paraId="3F76DCBC" w14:textId="0EC45D34" w:rsidR="00576128" w:rsidRDefault="00B22CCB"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Julio Á</w:t>
      </w:r>
      <w:r w:rsidR="00576128">
        <w:rPr>
          <w:rFonts w:ascii="Palatino Linotype" w:hAnsi="Palatino Linotype" w:cs="Times New Roman"/>
          <w:sz w:val="22"/>
          <w:szCs w:val="22"/>
        </w:rPr>
        <w:t>tico</w:t>
      </w:r>
    </w:p>
    <w:p w14:paraId="73ECE989" w14:textId="04670582"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Emiliano</w:t>
      </w:r>
    </w:p>
    <w:p w14:paraId="20D0C6CA" w14:textId="7F4B02B2" w:rsidR="00576128" w:rsidRDefault="00576128" w:rsidP="00576128">
      <w:pPr>
        <w:pStyle w:val="Prrafodelista"/>
        <w:numPr>
          <w:ilvl w:val="0"/>
          <w:numId w:val="2"/>
        </w:numPr>
        <w:jc w:val="both"/>
        <w:rPr>
          <w:rFonts w:ascii="Palatino Linotype" w:hAnsi="Palatino Linotype" w:cs="Times New Roman"/>
          <w:sz w:val="22"/>
          <w:szCs w:val="22"/>
        </w:rPr>
      </w:pPr>
      <w:r>
        <w:rPr>
          <w:rFonts w:ascii="Palatino Linotype" w:hAnsi="Palatino Linotype" w:cs="Times New Roman"/>
          <w:sz w:val="22"/>
          <w:szCs w:val="22"/>
        </w:rPr>
        <w:t>Columela</w:t>
      </w:r>
    </w:p>
    <w:p w14:paraId="53C09C72" w14:textId="4D058032" w:rsidR="00A4291C" w:rsidRPr="00A4291C" w:rsidRDefault="00A4291C" w:rsidP="00A4291C">
      <w:pPr>
        <w:jc w:val="both"/>
        <w:rPr>
          <w:rFonts w:ascii="Palatino Linotype" w:hAnsi="Palatino Linotype" w:cs="Times New Roman"/>
          <w:sz w:val="22"/>
          <w:szCs w:val="22"/>
        </w:rPr>
      </w:pPr>
      <w:r>
        <w:rPr>
          <w:rFonts w:ascii="Palatino Linotype" w:hAnsi="Palatino Linotype" w:cs="Times New Roman"/>
          <w:sz w:val="22"/>
          <w:szCs w:val="22"/>
        </w:rPr>
        <w:t>Pero d</w:t>
      </w:r>
      <w:r w:rsidRPr="00A4291C">
        <w:rPr>
          <w:rFonts w:ascii="Palatino Linotype" w:hAnsi="Palatino Linotype" w:cs="Times New Roman"/>
          <w:sz w:val="22"/>
          <w:szCs w:val="22"/>
        </w:rPr>
        <w:t xml:space="preserve">e hecho, </w:t>
      </w:r>
      <w:r>
        <w:rPr>
          <w:rFonts w:ascii="Palatino Linotype" w:hAnsi="Palatino Linotype" w:cs="Times New Roman"/>
          <w:sz w:val="22"/>
          <w:szCs w:val="22"/>
        </w:rPr>
        <w:t xml:space="preserve">este capítulo está tomado fundamentalmente de </w:t>
      </w:r>
      <w:r w:rsidRPr="00A4291C">
        <w:rPr>
          <w:rFonts w:ascii="Palatino Linotype" w:hAnsi="Palatino Linotype" w:cs="Times New Roman"/>
          <w:sz w:val="22"/>
          <w:szCs w:val="22"/>
        </w:rPr>
        <w:t xml:space="preserve">Columela, </w:t>
      </w:r>
      <w:r w:rsidRPr="00A4291C">
        <w:rPr>
          <w:rFonts w:ascii="Palatino Linotype" w:hAnsi="Palatino Linotype"/>
          <w:i/>
          <w:sz w:val="22"/>
          <w:szCs w:val="22"/>
        </w:rPr>
        <w:t>De re rustica</w:t>
      </w:r>
      <w:r>
        <w:rPr>
          <w:rFonts w:ascii="Palatino Linotype" w:hAnsi="Palatino Linotype"/>
          <w:i/>
          <w:sz w:val="22"/>
          <w:szCs w:val="22"/>
        </w:rPr>
        <w:t xml:space="preserve"> </w:t>
      </w:r>
      <w:r>
        <w:rPr>
          <w:rFonts w:ascii="Palatino Linotype" w:hAnsi="Palatino Linotype"/>
          <w:sz w:val="22"/>
          <w:szCs w:val="22"/>
        </w:rPr>
        <w:t>1, 1, 7-14.</w:t>
      </w:r>
    </w:p>
    <w:p w14:paraId="6C69C4A9" w14:textId="77777777" w:rsidR="00576128" w:rsidRPr="00576128" w:rsidRDefault="00576128" w:rsidP="00576128">
      <w:pPr>
        <w:jc w:val="both"/>
        <w:rPr>
          <w:rFonts w:ascii="Palatino Linotype" w:hAnsi="Palatino Linotype" w:cs="Times New Roman"/>
          <w:sz w:val="22"/>
          <w:szCs w:val="22"/>
        </w:rPr>
      </w:pPr>
    </w:p>
    <w:p w14:paraId="27FDB048" w14:textId="77777777" w:rsidR="00AB6436" w:rsidRPr="00593544" w:rsidRDefault="00AB6436" w:rsidP="00B848C2">
      <w:pPr>
        <w:jc w:val="both"/>
        <w:rPr>
          <w:rFonts w:ascii="Palatino Linotype" w:hAnsi="Palatino Linotype" w:cs="Times New Roman"/>
          <w:sz w:val="22"/>
          <w:szCs w:val="22"/>
        </w:rPr>
      </w:pPr>
    </w:p>
    <w:p w14:paraId="119A1D7C" w14:textId="3A7E4EAC" w:rsidR="00593544" w:rsidRPr="00593544" w:rsidRDefault="00593544" w:rsidP="00B848C2">
      <w:pPr>
        <w:jc w:val="both"/>
        <w:rPr>
          <w:rFonts w:ascii="Palatino Linotype" w:hAnsi="Palatino Linotype" w:cs="Times New Roman"/>
          <w:sz w:val="22"/>
          <w:szCs w:val="22"/>
        </w:rPr>
      </w:pPr>
      <w:r w:rsidRPr="00593544">
        <w:rPr>
          <w:rFonts w:ascii="Palatino Linotype" w:hAnsi="Palatino Linotype"/>
          <w:sz w:val="22"/>
          <w:szCs w:val="22"/>
        </w:rPr>
        <w:t xml:space="preserve">Con la excepción de </w:t>
      </w:r>
      <w:r w:rsidRPr="00593544">
        <w:rPr>
          <w:rFonts w:ascii="Palatino Linotype" w:hAnsi="Palatino Linotype"/>
          <w:i/>
          <w:sz w:val="22"/>
          <w:szCs w:val="22"/>
        </w:rPr>
        <w:t xml:space="preserve">sarmentis </w:t>
      </w:r>
      <w:r w:rsidRPr="00593544">
        <w:rPr>
          <w:rFonts w:ascii="Palatino Linotype" w:hAnsi="Palatino Linotype"/>
          <w:sz w:val="22"/>
          <w:szCs w:val="22"/>
        </w:rPr>
        <w:t xml:space="preserve">(lat. </w:t>
      </w:r>
      <w:r w:rsidRPr="00593544">
        <w:rPr>
          <w:rFonts w:ascii="Palatino Linotype" w:hAnsi="Palatino Linotype"/>
          <w:i/>
          <w:sz w:val="22"/>
          <w:szCs w:val="22"/>
        </w:rPr>
        <w:t>sarmentum</w:t>
      </w:r>
      <w:r w:rsidRPr="00593544">
        <w:rPr>
          <w:rFonts w:ascii="Palatino Linotype" w:hAnsi="Palatino Linotype"/>
          <w:sz w:val="22"/>
          <w:szCs w:val="22"/>
        </w:rPr>
        <w:t>), los términos relativos a la vid y los tipos de uva sólo aparecen en este documento</w:t>
      </w:r>
      <w:r w:rsidRPr="00593544">
        <w:rPr>
          <w:rFonts w:ascii="Palatino Linotype" w:hAnsi="Palatino Linotype" w:cs="Times New Roman"/>
          <w:sz w:val="22"/>
          <w:szCs w:val="22"/>
        </w:rPr>
        <w:t xml:space="preserve"> </w:t>
      </w:r>
    </w:p>
    <w:p w14:paraId="281A21AD" w14:textId="77777777" w:rsidR="00B848C2" w:rsidRPr="00593544" w:rsidRDefault="00B848C2" w:rsidP="00B848C2">
      <w:pPr>
        <w:jc w:val="both"/>
        <w:rPr>
          <w:rFonts w:ascii="Palatino Linotype" w:hAnsi="Palatino Linotype" w:cs="Times New Roman"/>
          <w:sz w:val="22"/>
          <w:szCs w:val="22"/>
        </w:rPr>
      </w:pPr>
    </w:p>
    <w:p w14:paraId="0D8ABEF8" w14:textId="36A3D295" w:rsidR="00D5384A" w:rsidRPr="006C4599" w:rsidRDefault="00680189" w:rsidP="00B848C2">
      <w:pPr>
        <w:jc w:val="both"/>
        <w:rPr>
          <w:rFonts w:ascii="Palatino Linotype" w:hAnsi="Palatino Linotype" w:cs="Times New Roman"/>
          <w:sz w:val="22"/>
          <w:szCs w:val="22"/>
        </w:rPr>
      </w:pPr>
      <w:r w:rsidRPr="006C4599">
        <w:rPr>
          <w:rFonts w:ascii="Palatino Linotype" w:hAnsi="Palatino Linotype" w:cs="Times New Roman"/>
          <w:sz w:val="22"/>
          <w:szCs w:val="22"/>
        </w:rPr>
        <w:t>Opción 1: centrarme en el vocabulario relativo a la vid y la uva.</w:t>
      </w:r>
    </w:p>
    <w:p w14:paraId="5E71D9F0" w14:textId="77777777" w:rsidR="007D71D6" w:rsidRPr="006C4599" w:rsidRDefault="007D71D6" w:rsidP="00B848C2">
      <w:pPr>
        <w:jc w:val="both"/>
        <w:rPr>
          <w:rFonts w:ascii="Palatino Linotype" w:hAnsi="Palatino Linotype" w:cs="Times New Roman"/>
          <w:sz w:val="22"/>
          <w:szCs w:val="22"/>
        </w:rPr>
      </w:pPr>
    </w:p>
    <w:p w14:paraId="50C2AA86" w14:textId="4DF5E4CF" w:rsidR="007D71D6" w:rsidRPr="006C4599" w:rsidRDefault="007D71D6" w:rsidP="00B848C2">
      <w:pPr>
        <w:jc w:val="both"/>
        <w:rPr>
          <w:rFonts w:ascii="Palatino Linotype" w:hAnsi="Palatino Linotype" w:cs="Times New Roman"/>
          <w:sz w:val="22"/>
          <w:szCs w:val="22"/>
        </w:rPr>
      </w:pPr>
      <w:r w:rsidRPr="006C4599">
        <w:rPr>
          <w:rFonts w:ascii="Palatino Linotype" w:hAnsi="Palatino Linotype" w:cs="Times New Roman"/>
          <w:sz w:val="22"/>
          <w:szCs w:val="22"/>
        </w:rPr>
        <w:t>Estructura:</w:t>
      </w:r>
    </w:p>
    <w:p w14:paraId="5714A474" w14:textId="3396E642" w:rsidR="007D71D6" w:rsidRPr="006C4599" w:rsidRDefault="007D71D6" w:rsidP="007D71D6">
      <w:pPr>
        <w:pStyle w:val="Prrafodelista"/>
        <w:numPr>
          <w:ilvl w:val="0"/>
          <w:numId w:val="3"/>
        </w:numPr>
        <w:jc w:val="both"/>
        <w:rPr>
          <w:rFonts w:ascii="Palatino Linotype" w:hAnsi="Palatino Linotype" w:cs="Times New Roman"/>
          <w:sz w:val="22"/>
          <w:szCs w:val="22"/>
        </w:rPr>
      </w:pPr>
      <w:r w:rsidRPr="006C4599">
        <w:rPr>
          <w:rFonts w:ascii="Palatino Linotype" w:hAnsi="Palatino Linotype" w:cs="Times New Roman"/>
          <w:sz w:val="22"/>
          <w:szCs w:val="22"/>
        </w:rPr>
        <w:t>Cuestiones formales</w:t>
      </w:r>
    </w:p>
    <w:p w14:paraId="643DD811" w14:textId="11F0D323" w:rsidR="007D71D6" w:rsidRPr="006C4599" w:rsidRDefault="007D71D6" w:rsidP="007D71D6">
      <w:pPr>
        <w:pStyle w:val="Prrafodelista"/>
        <w:numPr>
          <w:ilvl w:val="0"/>
          <w:numId w:val="3"/>
        </w:numPr>
        <w:jc w:val="both"/>
        <w:rPr>
          <w:rFonts w:ascii="Palatino Linotype" w:hAnsi="Palatino Linotype" w:cs="Times New Roman"/>
          <w:sz w:val="22"/>
          <w:szCs w:val="22"/>
        </w:rPr>
      </w:pPr>
      <w:r w:rsidRPr="006C4599">
        <w:rPr>
          <w:rFonts w:ascii="Palatino Linotype" w:hAnsi="Palatino Linotype" w:cs="Times New Roman"/>
          <w:sz w:val="22"/>
          <w:szCs w:val="22"/>
        </w:rPr>
        <w:t>Descripción diplomática</w:t>
      </w:r>
    </w:p>
    <w:p w14:paraId="52087F14" w14:textId="007059CF" w:rsidR="007D71D6" w:rsidRPr="006C4599" w:rsidRDefault="007D71D6" w:rsidP="007D71D6">
      <w:pPr>
        <w:pStyle w:val="Prrafodelista"/>
        <w:numPr>
          <w:ilvl w:val="0"/>
          <w:numId w:val="3"/>
        </w:numPr>
        <w:jc w:val="both"/>
        <w:rPr>
          <w:rFonts w:ascii="Palatino Linotype" w:hAnsi="Palatino Linotype" w:cs="Times New Roman"/>
          <w:sz w:val="22"/>
          <w:szCs w:val="22"/>
        </w:rPr>
      </w:pPr>
      <w:r w:rsidRPr="006C4599">
        <w:rPr>
          <w:rFonts w:ascii="Palatino Linotype" w:hAnsi="Palatino Linotype" w:cs="Times New Roman"/>
          <w:sz w:val="22"/>
          <w:szCs w:val="22"/>
        </w:rPr>
        <w:t>División del documento en partes (división tradicional; división de las enumeraciones?)</w:t>
      </w:r>
    </w:p>
    <w:p w14:paraId="7131FF23" w14:textId="147AB605" w:rsidR="007D71D6" w:rsidRPr="006C4599" w:rsidRDefault="007D71D6" w:rsidP="007D71D6">
      <w:pPr>
        <w:pStyle w:val="Prrafodelista"/>
        <w:numPr>
          <w:ilvl w:val="0"/>
          <w:numId w:val="3"/>
        </w:numPr>
        <w:jc w:val="both"/>
        <w:rPr>
          <w:rFonts w:ascii="Palatino Linotype" w:hAnsi="Palatino Linotype" w:cs="Times New Roman"/>
          <w:sz w:val="22"/>
          <w:szCs w:val="22"/>
        </w:rPr>
      </w:pPr>
      <w:r w:rsidRPr="006C4599">
        <w:rPr>
          <w:rFonts w:ascii="Palatino Linotype" w:hAnsi="Palatino Linotype" w:cs="Times New Roman"/>
          <w:sz w:val="22"/>
          <w:szCs w:val="22"/>
        </w:rPr>
        <w:t>Análisis léxico de los términos seleccionados (fuentes, glosarios, forma, uso, apariciones únicas, etc.)</w:t>
      </w:r>
    </w:p>
    <w:p w14:paraId="4C66E41B" w14:textId="50032207" w:rsidR="007D71D6" w:rsidRDefault="007D71D6" w:rsidP="007D71D6">
      <w:pPr>
        <w:pStyle w:val="Prrafodelista"/>
        <w:numPr>
          <w:ilvl w:val="0"/>
          <w:numId w:val="3"/>
        </w:numPr>
        <w:jc w:val="both"/>
        <w:rPr>
          <w:rFonts w:ascii="Palatino Linotype" w:hAnsi="Palatino Linotype" w:cs="Times New Roman"/>
          <w:sz w:val="22"/>
          <w:szCs w:val="22"/>
        </w:rPr>
      </w:pPr>
      <w:r w:rsidRPr="006C4599">
        <w:rPr>
          <w:rFonts w:ascii="Palatino Linotype" w:hAnsi="Palatino Linotype" w:cs="Times New Roman"/>
          <w:sz w:val="22"/>
          <w:szCs w:val="22"/>
        </w:rPr>
        <w:t>Conclusiones (documento no solemne, presencia de personajes cultos, de clase alta…)</w:t>
      </w:r>
    </w:p>
    <w:p w14:paraId="65F16220" w14:textId="77777777" w:rsidR="00990DDC" w:rsidRDefault="00990DDC" w:rsidP="00990DDC">
      <w:pPr>
        <w:jc w:val="both"/>
        <w:rPr>
          <w:rFonts w:ascii="Palatino Linotype" w:hAnsi="Palatino Linotype" w:cs="Times New Roman"/>
          <w:sz w:val="22"/>
          <w:szCs w:val="22"/>
        </w:rPr>
      </w:pPr>
    </w:p>
    <w:p w14:paraId="18FC0AAE" w14:textId="77777777" w:rsidR="00990DDC" w:rsidRDefault="00990DDC" w:rsidP="00990DDC">
      <w:pPr>
        <w:jc w:val="both"/>
        <w:rPr>
          <w:rFonts w:ascii="Palatino Linotype" w:hAnsi="Palatino Linotype" w:cs="Times New Roman"/>
          <w:sz w:val="22"/>
          <w:szCs w:val="22"/>
        </w:rPr>
      </w:pPr>
    </w:p>
    <w:p w14:paraId="18326997" w14:textId="434FA5C0" w:rsidR="00990DDC" w:rsidRDefault="00990DDC" w:rsidP="00990DDC">
      <w:pPr>
        <w:pStyle w:val="Redacci"/>
      </w:pPr>
      <w:r>
        <w:t>sarmentis:</w:t>
      </w:r>
    </w:p>
    <w:p w14:paraId="51613DD5" w14:textId="5C01DB99" w:rsidR="00990DDC" w:rsidRDefault="00990DDC" w:rsidP="00990DDC">
      <w:pPr>
        <w:pStyle w:val="Redacci"/>
      </w:pPr>
      <w:r w:rsidRPr="00990DDC">
        <w:rPr>
          <w:i/>
        </w:rPr>
        <w:t>Etym.</w:t>
      </w:r>
      <w:r>
        <w:t xml:space="preserve"> XVII 5, 5:</w:t>
      </w:r>
      <w:r w:rsidR="006D593A">
        <w:t xml:space="preserve"> </w:t>
      </w:r>
      <w:r w:rsidR="006D593A" w:rsidRPr="009B7E5E">
        <w:rPr>
          <w:b/>
        </w:rPr>
        <w:t>Sarmentum</w:t>
      </w:r>
      <w:r w:rsidR="006D593A" w:rsidRPr="00AB6654">
        <w:t xml:space="preserve"> a serendo [id est quasi serimentum]</w:t>
      </w:r>
      <w:r w:rsidR="007E03A7">
        <w:t>.</w:t>
      </w:r>
      <w:r w:rsidR="006D593A" w:rsidRPr="00AB6654">
        <w:t xml:space="preserve"> Malleolus est novellus palmes innatus prioris anni flagello, cognominatusque ob similitudinem rei, quod in ea parte qua deciditur ex veteri sarmento prominens utrimque mallei speciem praebet.</w:t>
      </w:r>
    </w:p>
    <w:p w14:paraId="54690739" w14:textId="4A186C31" w:rsidR="00561A4B" w:rsidRDefault="00561A4B" w:rsidP="00990DDC">
      <w:pPr>
        <w:pStyle w:val="Redacci"/>
      </w:pPr>
      <w:r w:rsidRPr="00561A4B">
        <w:rPr>
          <w:i/>
        </w:rPr>
        <w:t>vid. etiam</w:t>
      </w:r>
      <w:r>
        <w:t xml:space="preserve"> ms. 74, f. 117r, col. 1: Sarmentum a serendo id est quasi serimentum.</w:t>
      </w:r>
      <w:r w:rsidRPr="00AB6654">
        <w:t xml:space="preserve"> Malleolus est novellus palmes prioris anni flagello, cognominatus</w:t>
      </w:r>
      <w:r>
        <w:t xml:space="preserve"> </w:t>
      </w:r>
      <w:r w:rsidRPr="00AB6654">
        <w:t>qu</w:t>
      </w:r>
      <w:r>
        <w:t>od</w:t>
      </w:r>
      <w:r w:rsidRPr="00AB6654">
        <w:t xml:space="preserve"> similitudinem rei</w:t>
      </w:r>
      <w:r>
        <w:t xml:space="preserve"> qui </w:t>
      </w:r>
      <w:r w:rsidRPr="00AB6654">
        <w:t xml:space="preserve">in </w:t>
      </w:r>
      <w:r>
        <w:t xml:space="preserve">ea parte qua deciditur ex veteres </w:t>
      </w:r>
      <w:r w:rsidRPr="00AB6654">
        <w:t>armento promi</w:t>
      </w:r>
      <w:r>
        <w:t>nens utrimque mallei speciem pr</w:t>
      </w:r>
      <w:r w:rsidRPr="00AB6654">
        <w:t>ebet.</w:t>
      </w:r>
    </w:p>
    <w:p w14:paraId="6109780E" w14:textId="6724AED0" w:rsidR="00990DDC" w:rsidRDefault="00990DDC" w:rsidP="00990DDC">
      <w:pPr>
        <w:pStyle w:val="Redacci"/>
      </w:pPr>
      <w:r>
        <w:t>corimbea:</w:t>
      </w:r>
    </w:p>
    <w:p w14:paraId="42B245F5" w14:textId="01BFD81C" w:rsidR="00990DDC" w:rsidRDefault="00990DDC" w:rsidP="00990DDC">
      <w:pPr>
        <w:pStyle w:val="Redacci"/>
      </w:pPr>
      <w:r w:rsidRPr="00990DDC">
        <w:rPr>
          <w:i/>
        </w:rPr>
        <w:t>Etym.</w:t>
      </w:r>
      <w:r>
        <w:t xml:space="preserve"> XVII 5, 12:</w:t>
      </w:r>
      <w:r w:rsidR="006D593A">
        <w:t xml:space="preserve"> </w:t>
      </w:r>
      <w:r w:rsidR="006D593A" w:rsidRPr="00306F03">
        <w:rPr>
          <w:b/>
        </w:rPr>
        <w:t>Corymbi</w:t>
      </w:r>
      <w:r w:rsidR="006D593A" w:rsidRPr="00AB6654">
        <w:t xml:space="preserve"> sunt anuli qui proxima quaeque alligant et conprehendunt, ne longius laxati palmites ventorum flatibus dissipentur.</w:t>
      </w:r>
    </w:p>
    <w:p w14:paraId="1CA71EF8" w14:textId="64E90E1C" w:rsidR="0051666D" w:rsidRDefault="0051666D" w:rsidP="00990DDC">
      <w:pPr>
        <w:pStyle w:val="Redacci"/>
      </w:pPr>
      <w:r w:rsidRPr="00990DDC">
        <w:rPr>
          <w:i/>
        </w:rPr>
        <w:t>Etym.</w:t>
      </w:r>
      <w:r>
        <w:t xml:space="preserve"> XVII 9, 92: </w:t>
      </w:r>
      <w:r w:rsidRPr="00AE623F">
        <w:t xml:space="preserve">Viticella herba a Latinis appellata quod sicut vitis quidquid proximum habuerit, adprehendat </w:t>
      </w:r>
      <w:r w:rsidRPr="00AE623F">
        <w:rPr>
          <w:b/>
        </w:rPr>
        <w:t>corymbis</w:t>
      </w:r>
      <w:r w:rsidRPr="00AE623F">
        <w:t>, quos anulos appellamus.</w:t>
      </w:r>
    </w:p>
    <w:p w14:paraId="7D711F33" w14:textId="1F1AB620" w:rsidR="00306F03" w:rsidRPr="00306F03" w:rsidRDefault="00FF37DA" w:rsidP="00990DDC">
      <w:pPr>
        <w:pStyle w:val="Redacci"/>
      </w:pPr>
      <w:r w:rsidRPr="008A1095">
        <w:rPr>
          <w:smallCaps/>
        </w:rPr>
        <w:t>Columela</w:t>
      </w:r>
      <w:r>
        <w:t xml:space="preserve">, </w:t>
      </w:r>
      <w:r w:rsidRPr="00FF37DA">
        <w:rPr>
          <w:i/>
        </w:rPr>
        <w:t>De re rustica</w:t>
      </w:r>
      <w:r w:rsidRPr="008A1095">
        <w:t xml:space="preserve"> </w:t>
      </w:r>
      <w:r w:rsidR="0052652F">
        <w:rPr>
          <w:rFonts w:cs="Book Antiqua"/>
          <w:color w:val="262626"/>
          <w:lang w:val="es-ES"/>
        </w:rPr>
        <w:t>10</w:t>
      </w:r>
      <w:r w:rsidR="00306F03">
        <w:rPr>
          <w:rFonts w:cs="Book Antiqua"/>
          <w:color w:val="262626"/>
          <w:lang w:val="es-ES"/>
        </w:rPr>
        <w:t xml:space="preserve">, 237: </w:t>
      </w:r>
      <w:r w:rsidR="00306F03" w:rsidRPr="00306F03">
        <w:rPr>
          <w:rFonts w:cs="Book Antiqua"/>
          <w:color w:val="262626"/>
          <w:lang w:val="es-ES"/>
        </w:rPr>
        <w:t xml:space="preserve">Haec modo purpureo surgit glomerata </w:t>
      </w:r>
      <w:r w:rsidR="00306F03" w:rsidRPr="00306F03">
        <w:rPr>
          <w:rFonts w:cs="Book Antiqua"/>
          <w:b/>
          <w:color w:val="262626"/>
          <w:lang w:val="es-ES"/>
        </w:rPr>
        <w:t>corymbo</w:t>
      </w:r>
    </w:p>
    <w:p w14:paraId="1355CB6C" w14:textId="6304A3BE" w:rsidR="00306F03" w:rsidRPr="00306F03" w:rsidRDefault="00FF37DA" w:rsidP="00990DDC">
      <w:pPr>
        <w:pStyle w:val="Redacci"/>
      </w:pPr>
      <w:r w:rsidRPr="008A1095">
        <w:rPr>
          <w:smallCaps/>
        </w:rPr>
        <w:t>Columela</w:t>
      </w:r>
      <w:r>
        <w:t xml:space="preserve">, </w:t>
      </w:r>
      <w:r w:rsidRPr="00FF37DA">
        <w:rPr>
          <w:i/>
        </w:rPr>
        <w:t>De re rustica</w:t>
      </w:r>
      <w:r w:rsidRPr="008A1095">
        <w:t xml:space="preserve"> </w:t>
      </w:r>
      <w:r w:rsidR="0052652F">
        <w:rPr>
          <w:rFonts w:cs="Book Antiqua"/>
          <w:color w:val="262626"/>
          <w:lang w:val="es-ES"/>
        </w:rPr>
        <w:t>10</w:t>
      </w:r>
      <w:r w:rsidR="00306F03">
        <w:rPr>
          <w:rFonts w:cs="Book Antiqua"/>
          <w:color w:val="262626"/>
          <w:lang w:val="es-ES"/>
        </w:rPr>
        <w:t xml:space="preserve">, 301: </w:t>
      </w:r>
      <w:r w:rsidR="0052652F">
        <w:rPr>
          <w:rFonts w:cs="Book Antiqua"/>
          <w:color w:val="262626"/>
          <w:lang w:val="es-ES"/>
        </w:rPr>
        <w:t>B</w:t>
      </w:r>
      <w:r w:rsidR="00306F03" w:rsidRPr="00306F03">
        <w:rPr>
          <w:rFonts w:cs="Book Antiqua"/>
          <w:color w:val="262626"/>
          <w:lang w:val="es-ES"/>
        </w:rPr>
        <w:t xml:space="preserve">alsama cum casia nectens croceosque </w:t>
      </w:r>
      <w:r w:rsidR="00306F03" w:rsidRPr="00306F03">
        <w:rPr>
          <w:rFonts w:cs="Book Antiqua"/>
          <w:b/>
          <w:color w:val="262626"/>
          <w:lang w:val="es-ES"/>
        </w:rPr>
        <w:t>corymbos</w:t>
      </w:r>
    </w:p>
    <w:p w14:paraId="339C6816" w14:textId="1F5B279E" w:rsidR="00976FA7" w:rsidRDefault="00976FA7" w:rsidP="00990DDC">
      <w:pPr>
        <w:pStyle w:val="Redacci"/>
      </w:pPr>
      <w:r>
        <w:t xml:space="preserve">GlossAnsil. 147, 2202: </w:t>
      </w:r>
      <w:r w:rsidRPr="00530420">
        <w:rPr>
          <w:b/>
        </w:rPr>
        <w:t>corymbi</w:t>
      </w:r>
      <w:r>
        <w:t xml:space="preserve"> – &lt;h&gt;ed&lt;er&gt;arum bacae; 2203: uvae &lt;h&gt;ed&lt;er&gt;arum </w:t>
      </w:r>
      <w:r w:rsidRPr="00530420">
        <w:rPr>
          <w:b/>
        </w:rPr>
        <w:t>corymbi</w:t>
      </w:r>
      <w:r>
        <w:t xml:space="preserve"> dicuntur</w:t>
      </w:r>
    </w:p>
    <w:p w14:paraId="4CD6867D" w14:textId="66136D8E" w:rsidR="00CA6B99" w:rsidRDefault="00CA6B99" w:rsidP="00990DDC">
      <w:pPr>
        <w:pStyle w:val="Redacci"/>
      </w:pPr>
      <w:r w:rsidRPr="00CA6B99">
        <w:rPr>
          <w:smallCaps/>
        </w:rPr>
        <w:t>Plin.</w:t>
      </w:r>
      <w:r>
        <w:t xml:space="preserve"> </w:t>
      </w:r>
      <w:r w:rsidRPr="00CA6B99">
        <w:rPr>
          <w:i/>
        </w:rPr>
        <w:t>Nat.</w:t>
      </w:r>
      <w:r w:rsidR="0064168A">
        <w:rPr>
          <w:i/>
        </w:rPr>
        <w:t xml:space="preserve"> </w:t>
      </w:r>
      <w:r w:rsidR="0064168A" w:rsidRPr="008A1095">
        <w:rPr>
          <w:rFonts w:cs="Book Antiqua"/>
          <w:i/>
          <w:color w:val="262626"/>
          <w:lang w:val="es-ES"/>
        </w:rPr>
        <w:t>hist.</w:t>
      </w:r>
      <w:r w:rsidR="0064168A">
        <w:rPr>
          <w:rFonts w:cs="Book Antiqua"/>
          <w:color w:val="262626"/>
          <w:lang w:val="es-ES"/>
        </w:rPr>
        <w:t xml:space="preserve"> </w:t>
      </w:r>
      <w:r>
        <w:t xml:space="preserve">16, 146: Etiamnum hae species dividuntur in alias, quoniam est aliqua fructu tantum candida, alia et folio. fructum quoque candidum ferentium aliis densus acinus et grandior, racemis in orbem circumactis, qui vocantur </w:t>
      </w:r>
      <w:r w:rsidRPr="009E3B7F">
        <w:rPr>
          <w:b/>
        </w:rPr>
        <w:t>corymbi</w:t>
      </w:r>
      <w:r>
        <w:t>, idem Silenici cum est minor acinus, sparsior racemus.</w:t>
      </w:r>
    </w:p>
    <w:p w14:paraId="3516BA8F" w14:textId="053014A4" w:rsidR="002D03E9" w:rsidRDefault="002D03E9" w:rsidP="00990DDC">
      <w:pPr>
        <w:pStyle w:val="Redacci"/>
      </w:pPr>
      <w:r w:rsidRPr="002D03E9">
        <w:rPr>
          <w:smallCaps/>
        </w:rPr>
        <w:t>Serv.</w:t>
      </w:r>
      <w:r>
        <w:t xml:space="preserve"> </w:t>
      </w:r>
      <w:r w:rsidRPr="002D03E9">
        <w:rPr>
          <w:i/>
        </w:rPr>
        <w:t>Ecl.</w:t>
      </w:r>
      <w:r>
        <w:t xml:space="preserve"> 3, 39: </w:t>
      </w:r>
      <w:r w:rsidRPr="008C31BE">
        <w:rPr>
          <w:b/>
        </w:rPr>
        <w:t>corymbos</w:t>
      </w:r>
      <w:r>
        <w:t xml:space="preserve"> uvas hederarum</w:t>
      </w:r>
    </w:p>
    <w:p w14:paraId="61968978" w14:textId="177A77CD" w:rsidR="00990DDC" w:rsidRDefault="00990DDC" w:rsidP="00990DDC">
      <w:pPr>
        <w:pStyle w:val="Redacci"/>
      </w:pPr>
      <w:r>
        <w:t>dactilea</w:t>
      </w:r>
      <w:r w:rsidR="006D593A">
        <w:t>; ceraunea; stifanica</w:t>
      </w:r>
      <w:r>
        <w:t>:</w:t>
      </w:r>
    </w:p>
    <w:p w14:paraId="6ABAE597" w14:textId="2A7DAE8D" w:rsidR="00990DDC" w:rsidRDefault="00990DDC" w:rsidP="00990DDC">
      <w:pPr>
        <w:pStyle w:val="Redacci"/>
      </w:pPr>
      <w:r w:rsidRPr="00990DDC">
        <w:rPr>
          <w:i/>
        </w:rPr>
        <w:t>Etym.</w:t>
      </w:r>
      <w:r>
        <w:t xml:space="preserve"> XVII 5, </w:t>
      </w:r>
      <w:r w:rsidR="006D593A">
        <w:t xml:space="preserve">15 i </w:t>
      </w:r>
      <w:r>
        <w:t>17:</w:t>
      </w:r>
      <w:r w:rsidR="006D593A">
        <w:t xml:space="preserve"> </w:t>
      </w:r>
      <w:r w:rsidR="006D593A" w:rsidRPr="00AB6654">
        <w:t xml:space="preserve">Suburbanae uvae quaedam dicuntur quia fructus earum ad escam veluti pomum in urbibus venditur; conmendat </w:t>
      </w:r>
      <w:r w:rsidR="005147F1">
        <w:t>enim eas et species et saporis i</w:t>
      </w:r>
      <w:r w:rsidR="006D593A" w:rsidRPr="00AB6654">
        <w:t xml:space="preserve">ucunditas; ex quibus sunt praecoquae, duracinae, purpureae, </w:t>
      </w:r>
      <w:r w:rsidR="006D593A" w:rsidRPr="008A1095">
        <w:rPr>
          <w:b/>
        </w:rPr>
        <w:t>dactyli</w:t>
      </w:r>
      <w:r w:rsidR="006D593A" w:rsidRPr="00AB6654">
        <w:t xml:space="preserve">, Rhodiae, Libycae, </w:t>
      </w:r>
      <w:r w:rsidR="006D593A" w:rsidRPr="008A1095">
        <w:rPr>
          <w:b/>
        </w:rPr>
        <w:t>cerauniae</w:t>
      </w:r>
      <w:r w:rsidR="006D593A" w:rsidRPr="00AB6654">
        <w:t xml:space="preserve">, </w:t>
      </w:r>
      <w:r w:rsidR="006D593A" w:rsidRPr="008A1095">
        <w:rPr>
          <w:b/>
        </w:rPr>
        <w:t>stephanitae</w:t>
      </w:r>
      <w:r w:rsidR="006D593A" w:rsidRPr="00AB6654">
        <w:t xml:space="preserve">, tripedaneae, unciariae, Cydonitae. Durabiles autem per totam hiemem vennuculae et Numisianae. </w:t>
      </w:r>
      <w:r w:rsidR="006D593A">
        <w:t xml:space="preserve">[...] </w:t>
      </w:r>
      <w:r w:rsidR="006D593A" w:rsidRPr="00AB6654">
        <w:t xml:space="preserve">Purpureae a colore dicuntur; unciariae a magnitudine; </w:t>
      </w:r>
      <w:r w:rsidR="006D593A" w:rsidRPr="008A1095">
        <w:rPr>
          <w:b/>
        </w:rPr>
        <w:t>dactyli</w:t>
      </w:r>
      <w:r w:rsidR="006D593A" w:rsidRPr="00AB6654">
        <w:t xml:space="preserve"> a longitudine; </w:t>
      </w:r>
      <w:r w:rsidR="006D593A" w:rsidRPr="008A1095">
        <w:rPr>
          <w:b/>
        </w:rPr>
        <w:t>stephanitae</w:t>
      </w:r>
      <w:r w:rsidR="006D593A" w:rsidRPr="00AB6654">
        <w:t xml:space="preserve"> a rotunditate. Rhodiae et Libycae a regionibus nuncupatae sunt; </w:t>
      </w:r>
      <w:r w:rsidR="006D593A" w:rsidRPr="008A1095">
        <w:rPr>
          <w:b/>
        </w:rPr>
        <w:t>Cerauniae</w:t>
      </w:r>
      <w:r w:rsidR="006D593A" w:rsidRPr="00AB6654">
        <w:t xml:space="preserve"> vero quod rubeant velut ignis.</w:t>
      </w:r>
    </w:p>
    <w:p w14:paraId="17B6363B" w14:textId="7745E146" w:rsidR="008A1095" w:rsidRDefault="008A1095" w:rsidP="00990DDC">
      <w:pPr>
        <w:pStyle w:val="Redacci"/>
        <w:rPr>
          <w:rFonts w:cs="Book Antiqua"/>
          <w:color w:val="262626"/>
          <w:lang w:val="es-ES"/>
        </w:rPr>
      </w:pPr>
      <w:r w:rsidRPr="008A1095">
        <w:rPr>
          <w:smallCaps/>
        </w:rPr>
        <w:t>Columela</w:t>
      </w:r>
      <w:r w:rsidR="00FF37DA">
        <w:t xml:space="preserve">, </w:t>
      </w:r>
      <w:r w:rsidR="00FF37DA" w:rsidRPr="00FF37DA">
        <w:rPr>
          <w:i/>
        </w:rPr>
        <w:t>De re rustica</w:t>
      </w:r>
      <w:r w:rsidRPr="008A1095">
        <w:t xml:space="preserve"> 3, 2, 1</w:t>
      </w:r>
      <w:r w:rsidR="006451EE">
        <w:t>-2</w:t>
      </w:r>
      <w:r w:rsidRPr="008A1095">
        <w:t xml:space="preserve">: </w:t>
      </w:r>
      <w:r w:rsidRPr="008A1095">
        <w:rPr>
          <w:rFonts w:cs="Book Antiqua"/>
          <w:color w:val="262626"/>
          <w:lang w:val="es-ES"/>
        </w:rPr>
        <w:t xml:space="preserve">Vitis autem vel ad escam vel ad defusionem deponitur. Ad escam non expedit instituere vineta, nisi cum tam suburbanus est ager, ut ratio postulet inconditum fructum mercantibus velut pomum vendere. Quae cum talis est conditio, maxime praecoques et duracinae, tum denique purpureae et bumasti, </w:t>
      </w:r>
      <w:r w:rsidR="006451EE">
        <w:rPr>
          <w:rFonts w:cs="Book Antiqua"/>
          <w:b/>
          <w:color w:val="262626"/>
          <w:lang w:val="es-ES"/>
        </w:rPr>
        <w:t>D</w:t>
      </w:r>
      <w:r w:rsidRPr="008A1095">
        <w:rPr>
          <w:rFonts w:cs="Book Antiqua"/>
          <w:b/>
          <w:color w:val="262626"/>
          <w:lang w:val="es-ES"/>
        </w:rPr>
        <w:t>actyli</w:t>
      </w:r>
      <w:r w:rsidRPr="008A1095">
        <w:rPr>
          <w:rFonts w:cs="Book Antiqua"/>
          <w:color w:val="262626"/>
          <w:lang w:val="es-ES"/>
        </w:rPr>
        <w:t xml:space="preserve">que et Rhodiae, Libycae quoque et </w:t>
      </w:r>
      <w:r w:rsidR="006451EE">
        <w:rPr>
          <w:rFonts w:cs="Book Antiqua"/>
          <w:b/>
          <w:color w:val="262626"/>
          <w:lang w:val="es-ES"/>
        </w:rPr>
        <w:t>C</w:t>
      </w:r>
      <w:r w:rsidRPr="008A1095">
        <w:rPr>
          <w:rFonts w:cs="Book Antiqua"/>
          <w:b/>
          <w:color w:val="262626"/>
          <w:lang w:val="es-ES"/>
        </w:rPr>
        <w:t>erauniae</w:t>
      </w:r>
      <w:r w:rsidR="006451EE">
        <w:rPr>
          <w:rFonts w:cs="Book Antiqua"/>
          <w:color w:val="262626"/>
          <w:lang w:val="es-ES"/>
        </w:rPr>
        <w:t xml:space="preserve">; </w:t>
      </w:r>
      <w:r w:rsidRPr="008A1095">
        <w:rPr>
          <w:rFonts w:cs="Book Antiqua"/>
          <w:color w:val="262626"/>
          <w:lang w:val="es-ES"/>
        </w:rPr>
        <w:t xml:space="preserve">nec solum quae iucunditate saporis, verum etiam quae specie commendari possint, conseri debent, ut </w:t>
      </w:r>
      <w:r w:rsidR="006451EE">
        <w:rPr>
          <w:rFonts w:cs="Book Antiqua"/>
          <w:b/>
          <w:color w:val="262626"/>
          <w:lang w:val="es-ES"/>
        </w:rPr>
        <w:t>S</w:t>
      </w:r>
      <w:r w:rsidRPr="008A1095">
        <w:rPr>
          <w:rFonts w:cs="Book Antiqua"/>
          <w:b/>
          <w:color w:val="262626"/>
          <w:lang w:val="es-ES"/>
        </w:rPr>
        <w:t>tephanitae</w:t>
      </w:r>
      <w:r w:rsidR="006451EE">
        <w:rPr>
          <w:rFonts w:cs="Book Antiqua"/>
          <w:color w:val="262626"/>
          <w:lang w:val="es-ES"/>
        </w:rPr>
        <w:t>, ut Tripedaneae, ut Unciariae, ut C</w:t>
      </w:r>
      <w:r w:rsidRPr="008A1095">
        <w:rPr>
          <w:rFonts w:cs="Book Antiqua"/>
          <w:color w:val="262626"/>
          <w:lang w:val="es-ES"/>
        </w:rPr>
        <w:t>ydonitae.</w:t>
      </w:r>
    </w:p>
    <w:p w14:paraId="2DBE9461" w14:textId="450DE42B" w:rsidR="00E9529C" w:rsidRDefault="00E9529C" w:rsidP="00990DDC">
      <w:pPr>
        <w:pStyle w:val="Redacci"/>
        <w:rPr>
          <w:rFonts w:cs="Book Antiqua"/>
          <w:smallCaps/>
          <w:color w:val="262626"/>
          <w:lang w:val="es-ES"/>
        </w:rPr>
      </w:pPr>
      <w:r w:rsidRPr="008A1095">
        <w:rPr>
          <w:rFonts w:cs="Book Antiqua"/>
          <w:smallCaps/>
          <w:color w:val="262626"/>
          <w:lang w:val="es-ES"/>
        </w:rPr>
        <w:t>Plin</w:t>
      </w:r>
      <w:r>
        <w:rPr>
          <w:rFonts w:cs="Book Antiqua"/>
          <w:color w:val="262626"/>
          <w:lang w:val="es-ES"/>
        </w:rPr>
        <w:t xml:space="preserve">., </w:t>
      </w:r>
      <w:r w:rsidRPr="008A1095">
        <w:rPr>
          <w:rFonts w:cs="Book Antiqua"/>
          <w:i/>
          <w:color w:val="262626"/>
          <w:lang w:val="es-ES"/>
        </w:rPr>
        <w:t>Nat. hist.</w:t>
      </w:r>
      <w:r>
        <w:rPr>
          <w:rFonts w:cs="Book Antiqua"/>
          <w:color w:val="262626"/>
          <w:lang w:val="es-ES"/>
        </w:rPr>
        <w:t xml:space="preserve"> 14, 15: tument vero mammarum modo bumasti, praelongis </w:t>
      </w:r>
      <w:r w:rsidRPr="007B19D2">
        <w:rPr>
          <w:rFonts w:cs="Book Antiqua"/>
          <w:b/>
          <w:color w:val="262626"/>
          <w:lang w:val="es-ES"/>
        </w:rPr>
        <w:t xml:space="preserve">dactyli </w:t>
      </w:r>
      <w:r>
        <w:rPr>
          <w:rFonts w:cs="Book Antiqua"/>
          <w:color w:val="262626"/>
          <w:lang w:val="es-ES"/>
        </w:rPr>
        <w:t>porriguntur acinis.</w:t>
      </w:r>
    </w:p>
    <w:p w14:paraId="6FF13EAA" w14:textId="1B92E635" w:rsidR="0064168A" w:rsidRDefault="0064168A" w:rsidP="00990DDC">
      <w:pPr>
        <w:pStyle w:val="Redacci"/>
        <w:rPr>
          <w:rFonts w:cs="Book Antiqua"/>
          <w:color w:val="262626"/>
          <w:lang w:val="es-ES"/>
        </w:rPr>
      </w:pPr>
      <w:r w:rsidRPr="008A1095">
        <w:rPr>
          <w:rFonts w:cs="Book Antiqua"/>
          <w:smallCaps/>
          <w:color w:val="262626"/>
          <w:lang w:val="es-ES"/>
        </w:rPr>
        <w:t>Plin</w:t>
      </w:r>
      <w:r>
        <w:rPr>
          <w:rFonts w:cs="Book Antiqua"/>
          <w:color w:val="262626"/>
          <w:lang w:val="es-ES"/>
        </w:rPr>
        <w:t xml:space="preserve">., </w:t>
      </w:r>
      <w:r w:rsidRPr="008A1095">
        <w:rPr>
          <w:rFonts w:cs="Book Antiqua"/>
          <w:i/>
          <w:color w:val="262626"/>
          <w:lang w:val="es-ES"/>
        </w:rPr>
        <w:t>Nat. hist.</w:t>
      </w:r>
      <w:r>
        <w:rPr>
          <w:rFonts w:cs="Book Antiqua"/>
          <w:color w:val="262626"/>
          <w:lang w:val="es-ES"/>
        </w:rPr>
        <w:t xml:space="preserve"> 14, 40: Tanta est contra frigora, aestus tempestatesque firmitas. nec orthampelos indiget</w:t>
      </w:r>
      <w:r w:rsidR="00F87AAD">
        <w:rPr>
          <w:rFonts w:cs="Book Antiqua"/>
          <w:color w:val="262626"/>
          <w:lang w:val="es-ES"/>
        </w:rPr>
        <w:t xml:space="preserve"> arbore aut palis, ipsa se sustinens, non item </w:t>
      </w:r>
      <w:r w:rsidR="00F87AAD" w:rsidRPr="00F87AAD">
        <w:rPr>
          <w:rFonts w:cs="Book Antiqua"/>
          <w:b/>
          <w:color w:val="262626"/>
          <w:lang w:val="es-ES"/>
        </w:rPr>
        <w:t>dactylides</w:t>
      </w:r>
      <w:r w:rsidR="00F87AAD">
        <w:rPr>
          <w:rFonts w:cs="Book Antiqua"/>
          <w:color w:val="262626"/>
          <w:lang w:val="es-ES"/>
        </w:rPr>
        <w:t xml:space="preserve"> digitali gracilitate, columbinae e racemosissimis, et magis purpureae cognomine binammiae.</w:t>
      </w:r>
    </w:p>
    <w:p w14:paraId="5F81DEB9" w14:textId="1F85ED67" w:rsidR="008A1095" w:rsidRDefault="008A1095" w:rsidP="00990DDC">
      <w:pPr>
        <w:pStyle w:val="Redacci"/>
        <w:rPr>
          <w:rFonts w:cs="Book Antiqua"/>
          <w:color w:val="262626"/>
          <w:lang w:val="es-ES"/>
        </w:rPr>
      </w:pPr>
      <w:r w:rsidRPr="008A1095">
        <w:rPr>
          <w:rFonts w:cs="Book Antiqua"/>
          <w:smallCaps/>
          <w:color w:val="262626"/>
          <w:lang w:val="es-ES"/>
        </w:rPr>
        <w:t>Plin</w:t>
      </w:r>
      <w:r>
        <w:rPr>
          <w:rFonts w:cs="Book Antiqua"/>
          <w:color w:val="262626"/>
          <w:lang w:val="es-ES"/>
        </w:rPr>
        <w:t xml:space="preserve">., </w:t>
      </w:r>
      <w:r w:rsidRPr="008A1095">
        <w:rPr>
          <w:rFonts w:cs="Book Antiqua"/>
          <w:i/>
          <w:color w:val="262626"/>
          <w:lang w:val="es-ES"/>
        </w:rPr>
        <w:t>Nat. hist.</w:t>
      </w:r>
      <w:r>
        <w:rPr>
          <w:rFonts w:cs="Book Antiqua"/>
          <w:color w:val="262626"/>
          <w:lang w:val="es-ES"/>
        </w:rPr>
        <w:t xml:space="preserve"> 14, 42: </w:t>
      </w:r>
      <w:r w:rsidR="0064168A">
        <w:rPr>
          <w:rFonts w:cs="Book Antiqua"/>
          <w:color w:val="262626"/>
          <w:lang w:val="es-ES"/>
        </w:rPr>
        <w:t xml:space="preserve">In pergulis vero seruntur escariae appellatae e duracinis, albae nigraeque et bumasti totidem coloribus, ac nondum dictae Aegia et Rhodia et uncialis, velut a pondere acini, item picina omnium nigerrima, et coronario naturae lusu </w:t>
      </w:r>
      <w:r w:rsidR="0064168A" w:rsidRPr="0064168A">
        <w:rPr>
          <w:rFonts w:cs="Book Antiqua"/>
          <w:b/>
          <w:color w:val="262626"/>
          <w:lang w:val="es-ES"/>
        </w:rPr>
        <w:t>stephanitis</w:t>
      </w:r>
      <w:r w:rsidR="0064168A">
        <w:rPr>
          <w:rFonts w:cs="Book Antiqua"/>
          <w:color w:val="262626"/>
          <w:lang w:val="es-ES"/>
        </w:rPr>
        <w:t>, acinos foliis intercursantibus, et quae forenses vocantur, celeres proventu, vendibiles aspecto, portatu faciles.</w:t>
      </w:r>
    </w:p>
    <w:p w14:paraId="163D39FC" w14:textId="53D5AEA2" w:rsidR="00D5023A" w:rsidRDefault="00D5023A" w:rsidP="00990DDC">
      <w:pPr>
        <w:pStyle w:val="Redacci"/>
        <w:rPr>
          <w:rFonts w:cs="Book Antiqua"/>
          <w:color w:val="262626"/>
          <w:lang w:val="es-ES"/>
        </w:rPr>
      </w:pPr>
      <w:r w:rsidRPr="008A1095">
        <w:rPr>
          <w:rFonts w:cs="Book Antiqua"/>
          <w:smallCaps/>
          <w:color w:val="262626"/>
          <w:lang w:val="es-ES"/>
        </w:rPr>
        <w:t>Plin</w:t>
      </w:r>
      <w:r>
        <w:rPr>
          <w:rFonts w:cs="Book Antiqua"/>
          <w:color w:val="262626"/>
          <w:lang w:val="es-ES"/>
        </w:rPr>
        <w:t xml:space="preserve">., </w:t>
      </w:r>
      <w:r w:rsidRPr="008A1095">
        <w:rPr>
          <w:rFonts w:cs="Book Antiqua"/>
          <w:i/>
          <w:color w:val="262626"/>
          <w:lang w:val="es-ES"/>
        </w:rPr>
        <w:t>Nat. hist.</w:t>
      </w:r>
      <w:r>
        <w:rPr>
          <w:rFonts w:cs="Book Antiqua"/>
          <w:color w:val="262626"/>
          <w:lang w:val="es-ES"/>
        </w:rPr>
        <w:t xml:space="preserve"> 13, 59: </w:t>
      </w:r>
      <w:r w:rsidR="00414F83">
        <w:rPr>
          <w:rFonts w:cs="Book Antiqua"/>
          <w:color w:val="262626"/>
          <w:lang w:val="es-ES"/>
        </w:rPr>
        <w:t xml:space="preserve">Similis et quam Iones </w:t>
      </w:r>
      <w:r w:rsidR="00414F83" w:rsidRPr="00414F83">
        <w:rPr>
          <w:rFonts w:cs="Book Antiqua"/>
          <w:b/>
          <w:color w:val="262626"/>
          <w:lang w:val="es-ES"/>
        </w:rPr>
        <w:t>cerauniam</w:t>
      </w:r>
      <w:r w:rsidR="00414F83">
        <w:rPr>
          <w:rFonts w:cs="Book Antiqua"/>
          <w:color w:val="262626"/>
          <w:lang w:val="es-ES"/>
        </w:rPr>
        <w:t xml:space="preserve"> vocant, trunco et ipsa fertilis sed pomum siliqua</w:t>
      </w:r>
      <w:r w:rsidR="001A4A56">
        <w:rPr>
          <w:rFonts w:cs="Book Antiqua"/>
          <w:color w:val="262626"/>
          <w:lang w:val="es-ES"/>
        </w:rPr>
        <w:t>.</w:t>
      </w:r>
      <w:r w:rsidR="001C4353">
        <w:rPr>
          <w:rStyle w:val="Refdenotaalpie"/>
          <w:rFonts w:cs="Book Antiqua"/>
          <w:color w:val="262626"/>
          <w:lang w:val="es-ES"/>
        </w:rPr>
        <w:footnoteReference w:id="1"/>
      </w:r>
      <w:r w:rsidR="001A4A56">
        <w:rPr>
          <w:rFonts w:cs="Book Antiqua"/>
          <w:color w:val="262626"/>
          <w:lang w:val="es-ES"/>
        </w:rPr>
        <w:t xml:space="preserve"> ob id quidam Aegyptiam ficum dixere errore </w:t>
      </w:r>
      <w:r w:rsidR="00CE1CAD">
        <w:rPr>
          <w:rFonts w:cs="Book Antiqua"/>
          <w:color w:val="262626"/>
          <w:lang w:val="es-ES"/>
        </w:rPr>
        <w:t>manifesto</w:t>
      </w:r>
      <w:r w:rsidR="001A4A56">
        <w:rPr>
          <w:rFonts w:cs="Book Antiqua"/>
          <w:color w:val="262626"/>
          <w:lang w:val="es-ES"/>
        </w:rPr>
        <w:t xml:space="preserve">. non enim in Aegypto nascitur, sed in Syria Ioniaque et circa Cnidum atque in Rhodo, Semper comantibus foliis, </w:t>
      </w:r>
      <w:r w:rsidR="00381FBE">
        <w:rPr>
          <w:rFonts w:cs="Book Antiqua"/>
          <w:color w:val="262626"/>
          <w:lang w:val="es-ES"/>
        </w:rPr>
        <w:t>flore candido cum vehementia odoris, plantigera imis partibus et ideo superficie flavescens, sucum auferente subole.</w:t>
      </w:r>
    </w:p>
    <w:p w14:paraId="4EC68C56" w14:textId="77777777" w:rsidR="00A3544D" w:rsidRDefault="00A3544D" w:rsidP="00990DDC">
      <w:pPr>
        <w:pStyle w:val="Redacci"/>
        <w:rPr>
          <w:rFonts w:cs="Book Antiqua"/>
          <w:color w:val="262626"/>
          <w:lang w:val="es-ES"/>
        </w:rPr>
      </w:pPr>
    </w:p>
    <w:p w14:paraId="3202A5E5" w14:textId="184043A4" w:rsidR="00A3544D" w:rsidRDefault="00A3544D" w:rsidP="00990DDC">
      <w:pPr>
        <w:pStyle w:val="Redacci"/>
        <w:rPr>
          <w:rFonts w:eastAsia="Times New Roman" w:cs="Times New Roman"/>
        </w:rPr>
      </w:pPr>
      <w:r>
        <w:rPr>
          <w:rFonts w:cs="Book Antiqua"/>
          <w:color w:val="262626"/>
          <w:lang w:val="es-ES"/>
        </w:rPr>
        <w:t xml:space="preserve">ceraunium </w:t>
      </w:r>
      <w:r>
        <w:rPr>
          <w:rFonts w:cs="Book Antiqua"/>
          <w:i/>
          <w:color w:val="262626"/>
          <w:lang w:val="es-ES"/>
        </w:rPr>
        <w:t xml:space="preserve">pot referir-se a un mineral; </w:t>
      </w:r>
      <w:r w:rsidRPr="00A3544D">
        <w:rPr>
          <w:rFonts w:cs="Book Antiqua"/>
          <w:i/>
          <w:color w:val="262626"/>
          <w:lang w:val="es-ES"/>
        </w:rPr>
        <w:t>cf. Etym.</w:t>
      </w:r>
      <w:r>
        <w:rPr>
          <w:rFonts w:cs="Book Antiqua"/>
          <w:color w:val="262626"/>
          <w:lang w:val="es-ES"/>
        </w:rPr>
        <w:t xml:space="preserve"> XVI 13, 5: </w:t>
      </w:r>
      <w:r w:rsidRPr="000C3285">
        <w:rPr>
          <w:rFonts w:eastAsia="Times New Roman" w:cs="Times New Roman"/>
        </w:rPr>
        <w:t xml:space="preserve">Cerauniorum duo genera sunt. Vnum, quod Germania mittit, crystallini simile, splendet tamen caeruleo, et si sub divo positum fuerit, fulgorem rapit siderum. Ceraunium alterum Hispania in Lusitanis litoribus gignit, cui color e pyropo rubenti, et qualitas ut ignis. Haec adversus vim fulgurum opitulari fertur, si credimus. Dicta autem ceraunia quoniam alibi non inveniatur quam in loco fulmine icto proximo; Graece enim fulmen </w:t>
      </w:r>
      <w:r w:rsidRPr="00372418">
        <w:rPr>
          <w:rFonts w:eastAsia="Times New Roman" w:cs="Times New Roman"/>
          <w:highlight w:val="yellow"/>
        </w:rPr>
        <w:t xml:space="preserve">KERAUNOS </w:t>
      </w:r>
      <w:r w:rsidRPr="000C3285">
        <w:rPr>
          <w:rFonts w:eastAsia="Times New Roman" w:cs="Times New Roman"/>
        </w:rPr>
        <w:t>dicitur.</w:t>
      </w:r>
    </w:p>
    <w:p w14:paraId="0FC11390" w14:textId="77777777" w:rsidR="001C4353" w:rsidRDefault="001C4353" w:rsidP="00990DDC">
      <w:pPr>
        <w:pStyle w:val="Redacci"/>
        <w:rPr>
          <w:rFonts w:eastAsia="Times New Roman" w:cs="Times New Roman"/>
        </w:rPr>
      </w:pPr>
    </w:p>
    <w:p w14:paraId="7D184650" w14:textId="77777777" w:rsidR="001C4353" w:rsidRDefault="001C4353" w:rsidP="00990DDC">
      <w:pPr>
        <w:pStyle w:val="Redacci"/>
        <w:rPr>
          <w:rFonts w:eastAsia="Times New Roman" w:cs="Times New Roman"/>
        </w:rPr>
      </w:pPr>
      <w:bookmarkStart w:id="2" w:name="_GoBack"/>
      <w:bookmarkEnd w:id="2"/>
    </w:p>
    <w:p w14:paraId="274E6473" w14:textId="77777777" w:rsidR="001C4353" w:rsidRDefault="001C4353" w:rsidP="00990DDC">
      <w:pPr>
        <w:pStyle w:val="Redacci"/>
        <w:rPr>
          <w:rFonts w:cs="Book Antiqua"/>
          <w:color w:val="262626"/>
          <w:lang w:val="es-ES"/>
        </w:rPr>
      </w:pPr>
    </w:p>
    <w:p w14:paraId="4EC18865" w14:textId="13E19D6E" w:rsidR="00990DDC" w:rsidRDefault="00990DDC" w:rsidP="00990DDC">
      <w:pPr>
        <w:pStyle w:val="Redacci"/>
      </w:pPr>
      <w:r>
        <w:t>mareotica:</w:t>
      </w:r>
    </w:p>
    <w:p w14:paraId="6059BAED" w14:textId="743E5CE8" w:rsidR="00990DDC" w:rsidRDefault="00990DDC" w:rsidP="00990DDC">
      <w:pPr>
        <w:pStyle w:val="Redacci"/>
      </w:pPr>
      <w:r w:rsidRPr="00990DDC">
        <w:rPr>
          <w:i/>
        </w:rPr>
        <w:t>Etym.</w:t>
      </w:r>
      <w:r>
        <w:t xml:space="preserve"> XVII 5, 25:</w:t>
      </w:r>
      <w:r w:rsidR="006D593A">
        <w:t xml:space="preserve"> </w:t>
      </w:r>
      <w:r w:rsidR="006D593A" w:rsidRPr="00AF67CD">
        <w:rPr>
          <w:b/>
        </w:rPr>
        <w:t>Mareoticae</w:t>
      </w:r>
      <w:r w:rsidR="006D593A" w:rsidRPr="00AB6654">
        <w:t xml:space="preserve"> a regione Aegypti </w:t>
      </w:r>
      <w:r w:rsidR="006D593A" w:rsidRPr="00AF67CD">
        <w:t>Mareotis</w:t>
      </w:r>
      <w:r w:rsidR="006D593A" w:rsidRPr="008A1095">
        <w:rPr>
          <w:b/>
        </w:rPr>
        <w:t xml:space="preserve"> </w:t>
      </w:r>
      <w:r w:rsidR="006D593A" w:rsidRPr="00AB6654">
        <w:t>dictae, unde prius venerunt; sunt enim et albae et nigrae.</w:t>
      </w:r>
    </w:p>
    <w:p w14:paraId="375557BB" w14:textId="77777777" w:rsidR="008A1095" w:rsidRDefault="008A1095" w:rsidP="008A1095">
      <w:pPr>
        <w:pStyle w:val="Redacci"/>
        <w:rPr>
          <w:rFonts w:cs="Book Antiqua"/>
          <w:color w:val="262626"/>
          <w:lang w:val="es-ES"/>
        </w:rPr>
      </w:pPr>
      <w:r w:rsidRPr="008A1095">
        <w:rPr>
          <w:rFonts w:cs="Book Antiqua"/>
          <w:smallCaps/>
          <w:color w:val="262626"/>
          <w:lang w:val="es-ES"/>
        </w:rPr>
        <w:t>Virg</w:t>
      </w:r>
      <w:r w:rsidRPr="008A1095">
        <w:rPr>
          <w:rFonts w:cs="Book Antiqua"/>
          <w:color w:val="262626"/>
          <w:lang w:val="es-ES"/>
        </w:rPr>
        <w:t xml:space="preserve">., </w:t>
      </w:r>
      <w:r w:rsidRPr="008A1095">
        <w:rPr>
          <w:rFonts w:cs="Book Antiqua"/>
          <w:i/>
          <w:color w:val="262626"/>
          <w:lang w:val="es-ES"/>
        </w:rPr>
        <w:t>Georg.</w:t>
      </w:r>
      <w:r w:rsidRPr="008A1095">
        <w:rPr>
          <w:rFonts w:cs="Book Antiqua"/>
          <w:color w:val="262626"/>
          <w:lang w:val="es-ES"/>
        </w:rPr>
        <w:t xml:space="preserve"> 2, 92: sunt Thasiae uites, sunt et </w:t>
      </w:r>
      <w:r w:rsidRPr="008A1095">
        <w:rPr>
          <w:rFonts w:cs="Book Antiqua"/>
          <w:b/>
          <w:color w:val="262626"/>
          <w:lang w:val="es-ES"/>
        </w:rPr>
        <w:t>Mareotides</w:t>
      </w:r>
      <w:r w:rsidRPr="008A1095">
        <w:rPr>
          <w:rFonts w:cs="Book Antiqua"/>
          <w:color w:val="262626"/>
          <w:lang w:val="es-ES"/>
        </w:rPr>
        <w:t xml:space="preserve"> albae</w:t>
      </w:r>
    </w:p>
    <w:p w14:paraId="5EABAEED" w14:textId="7B62A0D2" w:rsidR="00C53E0E" w:rsidRPr="008A1095" w:rsidRDefault="00C53E0E" w:rsidP="008A1095">
      <w:pPr>
        <w:pStyle w:val="Redacci"/>
      </w:pPr>
      <w:r w:rsidRPr="008A1095">
        <w:rPr>
          <w:rFonts w:cs="Book Antiqua"/>
          <w:smallCaps/>
          <w:color w:val="262626"/>
          <w:lang w:val="es-ES"/>
        </w:rPr>
        <w:t>Plin</w:t>
      </w:r>
      <w:r>
        <w:rPr>
          <w:rFonts w:cs="Book Antiqua"/>
          <w:color w:val="262626"/>
          <w:lang w:val="es-ES"/>
        </w:rPr>
        <w:t xml:space="preserve">., </w:t>
      </w:r>
      <w:r w:rsidRPr="008A1095">
        <w:rPr>
          <w:rFonts w:cs="Book Antiqua"/>
          <w:i/>
          <w:color w:val="262626"/>
          <w:lang w:val="es-ES"/>
        </w:rPr>
        <w:t>Nat. hist.</w:t>
      </w:r>
      <w:r>
        <w:rPr>
          <w:rFonts w:cs="Book Antiqua"/>
          <w:color w:val="262626"/>
          <w:lang w:val="es-ES"/>
        </w:rPr>
        <w:t xml:space="preserve"> 14, 39: dixit Vergilius Thasias et </w:t>
      </w:r>
      <w:r w:rsidRPr="0046735C">
        <w:rPr>
          <w:rFonts w:cs="Book Antiqua"/>
          <w:b/>
          <w:color w:val="262626"/>
          <w:lang w:val="es-ES"/>
        </w:rPr>
        <w:t>Mareotidas</w:t>
      </w:r>
      <w:r>
        <w:rPr>
          <w:rFonts w:cs="Book Antiqua"/>
          <w:color w:val="262626"/>
          <w:lang w:val="es-ES"/>
        </w:rPr>
        <w:t xml:space="preserve"> et Lageas conplurisque externas, quae non reperiuntur in Italia.</w:t>
      </w:r>
    </w:p>
    <w:p w14:paraId="2D692FA3" w14:textId="10622194" w:rsidR="008A1095" w:rsidRDefault="00FF37DA" w:rsidP="00990DDC">
      <w:pPr>
        <w:pStyle w:val="Redacci"/>
        <w:rPr>
          <w:rFonts w:cs="Book Antiqua"/>
          <w:color w:val="262626"/>
          <w:lang w:val="es-ES"/>
        </w:rPr>
      </w:pPr>
      <w:r w:rsidRPr="008A1095">
        <w:rPr>
          <w:smallCaps/>
        </w:rPr>
        <w:t>Columela</w:t>
      </w:r>
      <w:r>
        <w:t xml:space="preserve">, </w:t>
      </w:r>
      <w:r w:rsidRPr="00FF37DA">
        <w:rPr>
          <w:i/>
        </w:rPr>
        <w:t>De re rustica</w:t>
      </w:r>
      <w:r w:rsidR="008A1095">
        <w:t xml:space="preserve"> 3, 2,</w:t>
      </w:r>
      <w:r w:rsidR="00687E99">
        <w:t xml:space="preserve"> 24</w:t>
      </w:r>
      <w:r w:rsidR="008A1095" w:rsidRPr="008A1095">
        <w:t>:</w:t>
      </w:r>
      <w:r w:rsidR="008A1095">
        <w:rPr>
          <w:rFonts w:cs="Book Antiqua"/>
          <w:color w:val="262626"/>
          <w:lang w:val="es-ES"/>
        </w:rPr>
        <w:t xml:space="preserve"> </w:t>
      </w:r>
      <w:r w:rsidR="008A1095" w:rsidRPr="008A1095">
        <w:rPr>
          <w:rFonts w:cs="Book Antiqua"/>
          <w:color w:val="262626"/>
          <w:lang w:val="es-ES"/>
        </w:rPr>
        <w:t xml:space="preserve">Nam quae Graeculae vites sunt, ut </w:t>
      </w:r>
      <w:r w:rsidR="008A1095" w:rsidRPr="00712157">
        <w:rPr>
          <w:rFonts w:cs="Book Antiqua"/>
          <w:b/>
          <w:color w:val="262626"/>
          <w:lang w:val="es-ES"/>
        </w:rPr>
        <w:t>Mareoticae</w:t>
      </w:r>
      <w:r w:rsidR="00687E99">
        <w:rPr>
          <w:rFonts w:cs="Book Antiqua"/>
          <w:color w:val="262626"/>
          <w:lang w:val="es-ES"/>
        </w:rPr>
        <w:t>, Thasiae, Psithiae, S</w:t>
      </w:r>
      <w:r w:rsidR="008A1095" w:rsidRPr="008A1095">
        <w:rPr>
          <w:rFonts w:cs="Book Antiqua"/>
          <w:color w:val="262626"/>
          <w:lang w:val="es-ES"/>
        </w:rPr>
        <w:t>ophortiae, sicut habent probabilem gustum, ita nostris regionibus et raritate uvarum et acinorum exiguitate minus fluunt.</w:t>
      </w:r>
    </w:p>
    <w:p w14:paraId="06702652" w14:textId="5855625F" w:rsidR="0046735C" w:rsidRPr="008A1095" w:rsidRDefault="0046735C" w:rsidP="00990DDC">
      <w:pPr>
        <w:pStyle w:val="Redacci"/>
      </w:pPr>
    </w:p>
    <w:p w14:paraId="35F50585" w14:textId="77777777" w:rsidR="00990DDC" w:rsidRDefault="00990DDC" w:rsidP="00052FEF">
      <w:pPr>
        <w:pStyle w:val="Redacci"/>
      </w:pPr>
    </w:p>
    <w:sectPr w:rsidR="00990DDC" w:rsidSect="00611745">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DB9F7" w14:textId="77777777" w:rsidR="00AF67CD" w:rsidRDefault="00AF67CD" w:rsidP="00E12FC1">
      <w:r>
        <w:separator/>
      </w:r>
    </w:p>
  </w:endnote>
  <w:endnote w:type="continuationSeparator" w:id="0">
    <w:p w14:paraId="67664844" w14:textId="77777777" w:rsidR="00AF67CD" w:rsidRDefault="00AF67CD" w:rsidP="00E1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3ED83" w14:textId="77777777" w:rsidR="00AF67CD" w:rsidRDefault="00AF67CD" w:rsidP="00E12F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46B43" w14:textId="77777777" w:rsidR="00AF67CD" w:rsidRDefault="00AF67CD" w:rsidP="00E12FC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5DDF0" w14:textId="77777777" w:rsidR="00AF67CD" w:rsidRDefault="00AF67CD" w:rsidP="00E12F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E6D3C">
      <w:rPr>
        <w:rStyle w:val="Nmerodepgina"/>
        <w:noProof/>
      </w:rPr>
      <w:t>1</w:t>
    </w:r>
    <w:r>
      <w:rPr>
        <w:rStyle w:val="Nmerodepgina"/>
      </w:rPr>
      <w:fldChar w:fldCharType="end"/>
    </w:r>
  </w:p>
  <w:p w14:paraId="27EB764B" w14:textId="77777777" w:rsidR="00AF67CD" w:rsidRDefault="00AF67CD" w:rsidP="00E12FC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6DEBC" w14:textId="77777777" w:rsidR="00AF67CD" w:rsidRDefault="00AF67CD" w:rsidP="00E12FC1">
      <w:r>
        <w:separator/>
      </w:r>
    </w:p>
  </w:footnote>
  <w:footnote w:type="continuationSeparator" w:id="0">
    <w:p w14:paraId="130194E3" w14:textId="77777777" w:rsidR="00AF67CD" w:rsidRDefault="00AF67CD" w:rsidP="00E12FC1">
      <w:r>
        <w:continuationSeparator/>
      </w:r>
    </w:p>
  </w:footnote>
  <w:footnote w:id="1">
    <w:p w14:paraId="47996A79" w14:textId="34DDA60E" w:rsidR="00AF67CD" w:rsidRPr="001C4353" w:rsidRDefault="00AF67CD">
      <w:pPr>
        <w:pStyle w:val="Textonotapie"/>
        <w:rPr>
          <w:rFonts w:ascii="Palatino Linotype" w:hAnsi="Palatino Linotype"/>
          <w:sz w:val="20"/>
          <w:szCs w:val="20"/>
        </w:rPr>
      </w:pPr>
      <w:r w:rsidRPr="001C4353">
        <w:rPr>
          <w:rStyle w:val="Refdenotaalpie"/>
          <w:rFonts w:ascii="Palatino Linotype" w:hAnsi="Palatino Linotype"/>
          <w:sz w:val="20"/>
          <w:szCs w:val="20"/>
        </w:rPr>
        <w:footnoteRef/>
      </w:r>
      <w:r w:rsidRPr="001C4353">
        <w:rPr>
          <w:rFonts w:ascii="Palatino Linotype" w:hAnsi="Palatino Linotype"/>
          <w:sz w:val="20"/>
          <w:szCs w:val="20"/>
        </w:rPr>
        <w:t xml:space="preserve"> cf. André 58 s.v. ceraunia (</w:t>
      </w:r>
      <w:r w:rsidRPr="001C4353">
        <w:rPr>
          <w:rFonts w:ascii="Palatino Linotype" w:hAnsi="Palatino Linotype"/>
          <w:i/>
          <w:sz w:val="20"/>
          <w:szCs w:val="20"/>
        </w:rPr>
        <w:t>Ceratonia siliqua</w:t>
      </w:r>
      <w:r w:rsidRPr="001C4353">
        <w:rPr>
          <w:rFonts w:ascii="Palatino Linotype" w:hAnsi="Palatino Linotype"/>
          <w:sz w:val="20"/>
          <w:szCs w:val="20"/>
        </w:rPr>
        <w:t xml:space="preserve"> L.), ‘garrofer’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546E"/>
    <w:multiLevelType w:val="hybridMultilevel"/>
    <w:tmpl w:val="E37469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79649A"/>
    <w:multiLevelType w:val="hybridMultilevel"/>
    <w:tmpl w:val="2BDA977A"/>
    <w:lvl w:ilvl="0" w:tplc="168EBE26">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50384BAD"/>
    <w:multiLevelType w:val="hybridMultilevel"/>
    <w:tmpl w:val="54C228FE"/>
    <w:lvl w:ilvl="0" w:tplc="E09084F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3E"/>
    <w:rsid w:val="000243F0"/>
    <w:rsid w:val="00036F61"/>
    <w:rsid w:val="00052FEF"/>
    <w:rsid w:val="00060B66"/>
    <w:rsid w:val="000C3285"/>
    <w:rsid w:val="000F7EE5"/>
    <w:rsid w:val="00180AE5"/>
    <w:rsid w:val="001A4A56"/>
    <w:rsid w:val="001C4353"/>
    <w:rsid w:val="002425B9"/>
    <w:rsid w:val="002661EE"/>
    <w:rsid w:val="002B1EE4"/>
    <w:rsid w:val="002D03E9"/>
    <w:rsid w:val="002D0AEC"/>
    <w:rsid w:val="00306F03"/>
    <w:rsid w:val="00372418"/>
    <w:rsid w:val="00381FBE"/>
    <w:rsid w:val="003D66B4"/>
    <w:rsid w:val="00414F83"/>
    <w:rsid w:val="0046735C"/>
    <w:rsid w:val="0051333E"/>
    <w:rsid w:val="005147F1"/>
    <w:rsid w:val="0051666D"/>
    <w:rsid w:val="0052652F"/>
    <w:rsid w:val="00530420"/>
    <w:rsid w:val="00561A4B"/>
    <w:rsid w:val="00576128"/>
    <w:rsid w:val="00593544"/>
    <w:rsid w:val="00611745"/>
    <w:rsid w:val="0064168A"/>
    <w:rsid w:val="006451EE"/>
    <w:rsid w:val="00680189"/>
    <w:rsid w:val="00687E99"/>
    <w:rsid w:val="006A39A8"/>
    <w:rsid w:val="006A43BC"/>
    <w:rsid w:val="006C4599"/>
    <w:rsid w:val="006D593A"/>
    <w:rsid w:val="00712157"/>
    <w:rsid w:val="007B19D2"/>
    <w:rsid w:val="007B37A9"/>
    <w:rsid w:val="007D71D6"/>
    <w:rsid w:val="007E03A7"/>
    <w:rsid w:val="007E6D3C"/>
    <w:rsid w:val="00824B1B"/>
    <w:rsid w:val="008A1095"/>
    <w:rsid w:val="008C31BE"/>
    <w:rsid w:val="008E6033"/>
    <w:rsid w:val="00976FA7"/>
    <w:rsid w:val="00990DDC"/>
    <w:rsid w:val="0099186F"/>
    <w:rsid w:val="009B7E5E"/>
    <w:rsid w:val="009D60D7"/>
    <w:rsid w:val="009E3B7F"/>
    <w:rsid w:val="00A3544D"/>
    <w:rsid w:val="00A4291C"/>
    <w:rsid w:val="00AB6436"/>
    <w:rsid w:val="00AE623F"/>
    <w:rsid w:val="00AF67CD"/>
    <w:rsid w:val="00B13C0E"/>
    <w:rsid w:val="00B22CCB"/>
    <w:rsid w:val="00B23CC0"/>
    <w:rsid w:val="00B83E6A"/>
    <w:rsid w:val="00B848C2"/>
    <w:rsid w:val="00BD7D6F"/>
    <w:rsid w:val="00C036B4"/>
    <w:rsid w:val="00C53E0E"/>
    <w:rsid w:val="00CA6B99"/>
    <w:rsid w:val="00CE1CAD"/>
    <w:rsid w:val="00CE3920"/>
    <w:rsid w:val="00D208B8"/>
    <w:rsid w:val="00D5023A"/>
    <w:rsid w:val="00D5115F"/>
    <w:rsid w:val="00D5384A"/>
    <w:rsid w:val="00D73FFD"/>
    <w:rsid w:val="00DB13AF"/>
    <w:rsid w:val="00E12FC1"/>
    <w:rsid w:val="00E57A9A"/>
    <w:rsid w:val="00E9529C"/>
    <w:rsid w:val="00E97525"/>
    <w:rsid w:val="00EF7936"/>
    <w:rsid w:val="00F00327"/>
    <w:rsid w:val="00F54EC5"/>
    <w:rsid w:val="00F87AAD"/>
    <w:rsid w:val="00FD5DB3"/>
    <w:rsid w:val="00FF37D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D1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2661EE"/>
    <w:pPr>
      <w:tabs>
        <w:tab w:val="left" w:pos="567"/>
      </w:tabs>
      <w:spacing w:line="360" w:lineRule="auto"/>
      <w:jc w:val="both"/>
    </w:pPr>
    <w:rPr>
      <w:rFonts w:ascii="Palatino Linotype" w:eastAsiaTheme="minorHAnsi" w:hAnsi="Palatino Linotype"/>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51333E"/>
    <w:pPr>
      <w:ind w:left="720"/>
      <w:contextualSpacing/>
    </w:pPr>
  </w:style>
  <w:style w:type="paragraph" w:styleId="Piedepgina">
    <w:name w:val="footer"/>
    <w:basedOn w:val="Normal"/>
    <w:link w:val="PiedepginaCar"/>
    <w:uiPriority w:val="99"/>
    <w:unhideWhenUsed/>
    <w:rsid w:val="00E12FC1"/>
    <w:pPr>
      <w:tabs>
        <w:tab w:val="center" w:pos="4252"/>
        <w:tab w:val="right" w:pos="8504"/>
      </w:tabs>
    </w:pPr>
  </w:style>
  <w:style w:type="character" w:customStyle="1" w:styleId="PiedepginaCar">
    <w:name w:val="Pie de página Car"/>
    <w:basedOn w:val="Fuentedeprrafopredeter"/>
    <w:link w:val="Piedepgina"/>
    <w:uiPriority w:val="99"/>
    <w:rsid w:val="00E12FC1"/>
  </w:style>
  <w:style w:type="character" w:styleId="Nmerodepgina">
    <w:name w:val="page number"/>
    <w:basedOn w:val="Fuentedeprrafopredeter"/>
    <w:uiPriority w:val="99"/>
    <w:semiHidden/>
    <w:unhideWhenUsed/>
    <w:rsid w:val="00E12FC1"/>
  </w:style>
  <w:style w:type="paragraph" w:styleId="Textonotapie">
    <w:name w:val="footnote text"/>
    <w:basedOn w:val="Normal"/>
    <w:link w:val="TextonotapieCar"/>
    <w:uiPriority w:val="99"/>
    <w:unhideWhenUsed/>
    <w:rsid w:val="001C4353"/>
  </w:style>
  <w:style w:type="character" w:customStyle="1" w:styleId="TextonotapieCar">
    <w:name w:val="Texto nota pie Car"/>
    <w:basedOn w:val="Fuentedeprrafopredeter"/>
    <w:link w:val="Textonotapie"/>
    <w:uiPriority w:val="99"/>
    <w:rsid w:val="001C4353"/>
  </w:style>
  <w:style w:type="character" w:styleId="Refdenotaalpie">
    <w:name w:val="footnote reference"/>
    <w:basedOn w:val="Fuentedeprrafopredeter"/>
    <w:uiPriority w:val="99"/>
    <w:unhideWhenUsed/>
    <w:rsid w:val="001C435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2661EE"/>
    <w:pPr>
      <w:tabs>
        <w:tab w:val="left" w:pos="567"/>
      </w:tabs>
      <w:spacing w:line="360" w:lineRule="auto"/>
      <w:jc w:val="both"/>
    </w:pPr>
    <w:rPr>
      <w:rFonts w:ascii="Palatino Linotype" w:eastAsiaTheme="minorHAnsi" w:hAnsi="Palatino Linotype"/>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51333E"/>
    <w:pPr>
      <w:ind w:left="720"/>
      <w:contextualSpacing/>
    </w:pPr>
  </w:style>
  <w:style w:type="paragraph" w:styleId="Piedepgina">
    <w:name w:val="footer"/>
    <w:basedOn w:val="Normal"/>
    <w:link w:val="PiedepginaCar"/>
    <w:uiPriority w:val="99"/>
    <w:unhideWhenUsed/>
    <w:rsid w:val="00E12FC1"/>
    <w:pPr>
      <w:tabs>
        <w:tab w:val="center" w:pos="4252"/>
        <w:tab w:val="right" w:pos="8504"/>
      </w:tabs>
    </w:pPr>
  </w:style>
  <w:style w:type="character" w:customStyle="1" w:styleId="PiedepginaCar">
    <w:name w:val="Pie de página Car"/>
    <w:basedOn w:val="Fuentedeprrafopredeter"/>
    <w:link w:val="Piedepgina"/>
    <w:uiPriority w:val="99"/>
    <w:rsid w:val="00E12FC1"/>
  </w:style>
  <w:style w:type="character" w:styleId="Nmerodepgina">
    <w:name w:val="page number"/>
    <w:basedOn w:val="Fuentedeprrafopredeter"/>
    <w:uiPriority w:val="99"/>
    <w:semiHidden/>
    <w:unhideWhenUsed/>
    <w:rsid w:val="00E12FC1"/>
  </w:style>
  <w:style w:type="paragraph" w:styleId="Textonotapie">
    <w:name w:val="footnote text"/>
    <w:basedOn w:val="Normal"/>
    <w:link w:val="TextonotapieCar"/>
    <w:uiPriority w:val="99"/>
    <w:unhideWhenUsed/>
    <w:rsid w:val="001C4353"/>
  </w:style>
  <w:style w:type="character" w:customStyle="1" w:styleId="TextonotapieCar">
    <w:name w:val="Texto nota pie Car"/>
    <w:basedOn w:val="Fuentedeprrafopredeter"/>
    <w:link w:val="Textonotapie"/>
    <w:uiPriority w:val="99"/>
    <w:rsid w:val="001C4353"/>
  </w:style>
  <w:style w:type="character" w:styleId="Refdenotaalpie">
    <w:name w:val="footnote reference"/>
    <w:basedOn w:val="Fuentedeprrafopredeter"/>
    <w:uiPriority w:val="99"/>
    <w:unhideWhenUsed/>
    <w:rsid w:val="001C43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1426</Words>
  <Characters>7849</Characters>
  <Application>Microsoft Macintosh Word</Application>
  <DocSecurity>0</DocSecurity>
  <Lines>65</Lines>
  <Paragraphs>18</Paragraphs>
  <ScaleCrop>false</ScaleCrop>
  <Company>IMF-CSIC</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IMF-Estudis Medievals</dc:creator>
  <cp:keywords/>
  <dc:description/>
  <cp:lastModifiedBy>IMF-Estudis Medievals</cp:lastModifiedBy>
  <cp:revision>71</cp:revision>
  <dcterms:created xsi:type="dcterms:W3CDTF">2015-06-08T08:30:00Z</dcterms:created>
  <dcterms:modified xsi:type="dcterms:W3CDTF">2015-07-01T15:08:00Z</dcterms:modified>
</cp:coreProperties>
</file>