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4549649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标的名称（代码）· 投研报告</w:t>
      </w:r>
    </w:p>
    <w:p w14:paraId="7A8006A1">
      <w:r>
        <w:rPr>
          <w:rFonts w:hint="eastAsia"/>
        </w:rPr>
        <w:t>报告日期：</w:t>
      </w:r>
    </w:p>
    <w:p w14:paraId="6532D5FF">
      <w:r>
        <w:rPr>
          <w:rFonts w:hint="eastAsia"/>
        </w:rPr>
        <w:t>标的：（代码，上市地）</w:t>
      </w:r>
    </w:p>
    <w:p w14:paraId="1DFCA810">
      <w:r>
        <w:rPr>
          <w:rFonts w:hint="eastAsia"/>
        </w:rPr>
        <w:t>最新价：（必须带取数时点，如"2026年10月8日盘中"；含前收与52周区间）</w:t>
      </w:r>
    </w:p>
    <w:p w14:paraId="64800821">
      <w:r>
        <w:rPr>
          <w:rFonts w:hint="eastAsia"/>
        </w:rPr>
        <w:t>总市值：（必须带计算口径，如"按A股价格×总股本X亿股估算"）</w:t>
      </w:r>
    </w:p>
    <w:p w14:paraId="1A495D3A">
      <w:r>
        <w:rPr>
          <w:rFonts w:hint="eastAsia"/>
        </w:rPr>
        <w:t>团队构成：</w:t>
      </w:r>
    </w:p>
    <w:p w14:paraId="2BE48FB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一、执行摘要（Executive Summary）</w:t>
      </w:r>
    </w:p>
    <w:p w14:paraId="60A49EAB">
      <w:r>
        <w:rPr>
          <w:rFonts w:hint="eastAsia"/>
          <w:b w:val="1"/>
        </w:rPr>
        <w:t>公司定位：</w:t>
      </w:r>
    </w:p>
    <w:p w14:paraId="00800DBA">
      <w:r>
        <w:rPr>
          <w:rFonts w:hint="eastAsia"/>
          <w:b w:val="1"/>
        </w:rPr>
        <w:t>核心矛盾：</w:t>
      </w:r>
      <w:r>
        <w:rPr>
          <w:rFonts w:hint="eastAsia"/>
        </w:rPr>
        <w:t>市场认知 vs 公司实质</w:t>
      </w:r>
    </w:p>
    <w:p w14:paraId="3657519F">
      <w:r>
        <w:rPr>
          <w:rFonts w:hint="eastAsia"/>
          <w:b w:val="1"/>
        </w:rPr>
        <w:t>关键时点：</w:t>
      </w:r>
    </w:p>
    <w:p w14:paraId="37AECB2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二、一级市场投研：财务与估值透视</w:t>
      </w:r>
    </w:p>
    <w:p w14:paraId="667DD83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财务基本面：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1384" w:type="dxa"/>
            <w:vAlign w:val="center"/>
          </w:tcPr>
          <w:p w14:paraId="5E927B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1384" w:type="dxa"/>
            <w:vAlign w:val="center"/>
          </w:tcPr>
          <w:p w14:paraId="3212CB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20XX年</w:t>
            </w:r>
          </w:p>
        </w:tc>
        <w:tc>
          <w:tcPr>
            <w:tcW w:w="1384" w:type="dxa"/>
            <w:vAlign w:val="center"/>
          </w:tcPr>
          <w:p w14:paraId="0573C8C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20XX年</w:t>
            </w:r>
          </w:p>
        </w:tc>
        <w:tc>
          <w:tcPr>
            <w:tcW w:w="1384" w:type="dxa"/>
            <w:vAlign w:val="center"/>
          </w:tcPr>
          <w:p w14:paraId="7E4BCA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同比</w:t>
            </w:r>
          </w:p>
        </w:tc>
        <w:tc>
          <w:tcPr>
            <w:tcW w:w="1384" w:type="dxa"/>
            <w:vAlign w:val="center"/>
          </w:tcPr>
          <w:p w14:paraId="0E4AF5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20XX年H1</w:t>
            </w:r>
          </w:p>
        </w:tc>
        <w:tc>
          <w:tcPr>
            <w:tcW w:w="1384" w:type="dxa"/>
            <w:vAlign w:val="center"/>
          </w:tcPr>
          <w:p w14:paraId="071265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同比</w:t>
            </w:r>
          </w:p>
        </w:tc>
      </w:tr>
      <w:tr>
        <w:trPr/>
        <w:tc>
          <w:tcPr>
            <w:tcW w:w="8306" w:type="dxa"/>
            <w:vAlign w:val="center"/>
          </w:tcPr>
          <w:p w14:paraId="5BB5EDA8">
            <w:r>
              <w:rPr>
                <w:rFonts w:hint="eastAsia"/>
              </w:rPr>
              <w:t>营业收入</w:t>
            </w:r>
          </w:p>
        </w:tc>
      </w:tr>
      <w:tr>
        <w:trPr/>
        <w:tc>
          <w:tcPr>
            <w:tcW w:w="8306" w:type="dxa"/>
            <w:vAlign w:val="center"/>
          </w:tcPr>
          <w:p w14:paraId="4C76C8B4">
            <w:r>
              <w:rPr>
                <w:rFonts w:hint="eastAsia"/>
              </w:rPr>
              <w:t>归母净利润</w:t>
            </w:r>
          </w:p>
        </w:tc>
      </w:tr>
      <w:tr>
        <w:trPr/>
        <w:tc>
          <w:tcPr>
            <w:tcW w:w="8306" w:type="dxa"/>
            <w:vAlign w:val="center"/>
          </w:tcPr>
          <w:p w14:paraId="3E006C87">
            <w:r>
              <w:rPr>
                <w:rFonts w:hint="eastAsia"/>
              </w:rPr>
              <w:t>扣非净利润</w:t>
            </w:r>
          </w:p>
        </w:tc>
      </w:tr>
      <w:tr>
        <w:trPr/>
        <w:tc>
          <w:tcPr>
            <w:tcW w:w="8306" w:type="dxa"/>
            <w:vAlign w:val="center"/>
          </w:tcPr>
          <w:p w14:paraId="7377DF9A">
            <w:r>
              <w:rPr>
                <w:rFonts w:hint="eastAsia"/>
              </w:rPr>
              <w:t>毛利率</w:t>
            </w:r>
          </w:p>
        </w:tc>
      </w:tr>
      <w:tr>
        <w:trPr/>
        <w:tc>
          <w:tcPr>
            <w:tcW w:w="8306" w:type="dxa"/>
            <w:vAlign w:val="center"/>
          </w:tcPr>
          <w:p w14:paraId="2996AFFD">
            <w:r>
              <w:rPr>
                <w:rFonts w:hint="eastAsia"/>
              </w:rPr>
              <w:t>净利率</w:t>
            </w:r>
          </w:p>
        </w:tc>
      </w:tr>
      <w:tr>
        <w:trPr/>
        <w:tc>
          <w:tcPr>
            <w:tcW w:w="8306" w:type="dxa"/>
            <w:vAlign w:val="center"/>
          </w:tcPr>
          <w:p w14:paraId="1A594E61">
            <w:r>
              <w:rPr>
                <w:rFonts w:hint="eastAsia"/>
              </w:rPr>
              <w:t>经营现金流</w:t>
            </w:r>
          </w:p>
        </w:tc>
      </w:tr>
      <w:tr>
        <w:trPr/>
        <w:tc>
          <w:tcPr>
            <w:tcW w:w="8306" w:type="dxa"/>
            <w:vAlign w:val="center"/>
          </w:tcPr>
          <w:p w14:paraId="5095FED8">
            <w:r>
              <w:t>ROE</w:t>
            </w:r>
          </w:p>
        </w:tc>
      </w:tr>
    </w:tbl>
    <w:p w14:paraId="60801656">
      <w:r>
        <w:rPr>
          <w:rFonts w:hint="eastAsia"/>
          <w:b w:val="1"/>
        </w:rPr>
        <w:t>结构亮点：</w:t>
      </w:r>
    </w:p>
    <w:p w14:paraId="70924DCC">
      <w:r>
        <w:rPr>
          <w:rFonts w:hint="eastAsia"/>
          <w:b w:val="1"/>
        </w:rPr>
        <w:t>短期承压的真相：</w:t>
      </w:r>
    </w:p>
    <w:p w14:paraId="4312525E">
      <w:r>
        <w:rPr>
          <w:rFonts w:hint="eastAsia"/>
          <w:b w:val="1"/>
        </w:rPr>
        <w:t>资产负债表：</w:t>
      </w:r>
    </w:p>
    <w:p w14:paraId="459DE21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估值水平：成长性与安全边际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2768" w:type="dxa"/>
            <w:vAlign w:val="center"/>
          </w:tcPr>
          <w:p w14:paraId="7A6C7B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估值指标</w:t>
            </w:r>
          </w:p>
        </w:tc>
        <w:tc>
          <w:tcPr>
            <w:tcW w:w="2768" w:type="dxa"/>
            <w:vAlign w:val="center"/>
          </w:tcPr>
          <w:p w14:paraId="2F3CF4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当前水平</w:t>
            </w:r>
          </w:p>
        </w:tc>
        <w:tc>
          <w:tcPr>
            <w:tcW w:w="2768" w:type="dxa"/>
            <w:vAlign w:val="center"/>
          </w:tcPr>
          <w:p w14:paraId="5ECFC3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备注（必填口径）</w:t>
            </w:r>
          </w:p>
        </w:tc>
      </w:tr>
      <w:tr>
        <w:trPr/>
        <w:tc>
          <w:tcPr>
            <w:tcW w:w="8306" w:type="dxa"/>
            <w:vAlign w:val="center"/>
          </w:tcPr>
          <w:p w14:paraId="0C9ED227">
            <w:r>
              <w:t>PE(TTM)</w:t>
            </w:r>
          </w:p>
        </w:tc>
      </w:tr>
      <w:tr>
        <w:trPr/>
        <w:tc>
          <w:tcPr>
            <w:tcW w:w="8306" w:type="dxa"/>
            <w:vAlign w:val="center"/>
          </w:tcPr>
          <w:p w14:paraId="7601E5ED">
            <w:r>
              <w:t>PE(20XXE)</w:t>
            </w:r>
          </w:p>
        </w:tc>
      </w:tr>
      <w:tr>
        <w:trPr/>
        <w:tc>
          <w:tcPr>
            <w:tcW w:w="8306" w:type="dxa"/>
            <w:vAlign w:val="center"/>
          </w:tcPr>
          <w:p w14:paraId="0D127E5F">
            <w:r>
              <w:t>PB</w:t>
            </w:r>
          </w:p>
        </w:tc>
      </w:tr>
      <w:tr>
        <w:trPr/>
        <w:tc>
          <w:tcPr>
            <w:tcW w:w="8306" w:type="dxa"/>
            <w:vAlign w:val="center"/>
          </w:tcPr>
          <w:p w14:paraId="43A48EBC">
            <w:r>
              <w:t>PEG</w:t>
            </w:r>
          </w:p>
        </w:tc>
      </w:tr>
      <w:tr>
        <w:trPr/>
        <w:tc>
          <w:tcPr>
            <w:tcW w:w="8306" w:type="dxa"/>
            <w:vAlign w:val="center"/>
          </w:tcPr>
          <w:p w14:paraId="162BB4C9">
            <w:r>
              <w:rPr>
                <w:rFonts w:hint="eastAsia"/>
              </w:rPr>
              <w:t>历史分位</w:t>
            </w:r>
          </w:p>
        </w:tc>
      </w:tr>
      <w:tr>
        <w:trPr/>
        <w:tc>
          <w:tcPr>
            <w:tcW w:w="8306" w:type="dxa"/>
            <w:vAlign w:val="center"/>
          </w:tcPr>
          <w:p w14:paraId="4CFBB070">
            <w:r>
              <w:rPr>
                <w:rFonts w:hint="eastAsia"/>
              </w:rPr>
              <w:t>股息率</w:t>
            </w:r>
          </w:p>
        </w:tc>
      </w:tr>
    </w:tbl>
    <w:p w14:paraId="5CF29FE2">
      <w:r>
        <w:rPr>
          <w:rFonts w:hint="eastAsia"/>
          <w:b w:val="1"/>
        </w:rPr>
        <w:t>估值研判：</w:t>
      </w:r>
    </w:p>
    <w:p w14:paraId="7AEE2909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三、二级市场投研：经营与市占率拆解</w:t>
      </w:r>
    </w:p>
    <w:p w14:paraId="678FE11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核心业务与市占率</w:t>
      </w:r>
    </w:p>
    <w:p w14:paraId="5E6FB112">
      <w:r>
        <w:rPr>
          <w:rFonts w:hint="eastAsia"/>
        </w:rPr>
        <w:t>（1）</w:t>
      </w:r>
    </w:p>
    <w:p w14:paraId="594F0D18">
      <w:r>
        <w:rPr>
          <w:rFonts w:hint="eastAsia"/>
        </w:rPr>
        <w:t>（2）</w:t>
      </w:r>
    </w:p>
    <w:p w14:paraId="502EED1E">
      <w:r>
        <w:rPr>
          <w:rFonts w:hint="eastAsia"/>
        </w:rPr>
        <w:t>（3）</w:t>
      </w:r>
    </w:p>
    <w:p w14:paraId="43C9C8D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经营隐忧</w:t>
      </w:r>
    </w:p>
    <w:p w14:paraId="3AADCB50">
      <w:r>
        <w:rPr>
          <w:rFonts w:hint="eastAsia"/>
        </w:rPr>
        <w:t>（1）</w:t>
      </w:r>
    </w:p>
    <w:p w14:paraId="35806356">
      <w:r>
        <w:rPr>
          <w:rFonts w:hint="eastAsia"/>
        </w:rPr>
        <w:t>（2）</w:t>
      </w:r>
    </w:p>
    <w:p w14:paraId="08E4C8E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四、风险控制（Risk Consulting）</w:t>
      </w:r>
    </w:p>
    <w:p w14:paraId="0A495D0B">
      <w:pPr>
        <w:numPr>
          <w:ilvl w:val="0"/>
          <w:numId w:val="1"/>
        </w:numPr>
      </w:pPr>
      <w:r>
        <w:rPr>
          <w:rFonts w:hint="eastAsia"/>
        </w:rPr>
        <w:t>风险名称（核心，按严重度排序）：</w:t>
      </w:r>
    </w:p>
    <w:p w14:paraId="41FEF00E">
      <w:pPr>
        <w:numPr>
          <w:ilvl w:val="0"/>
          <w:numId w:val="2"/>
        </w:numPr>
      </w:pPr>
      <w:r>
        <w:rPr>
          <w:rFonts w:hint="eastAsia"/>
        </w:rPr>
        <w:t>风险名称：</w:t>
      </w:r>
    </w:p>
    <w:p w14:paraId="772C7D09">
      <w:pPr>
        <w:numPr>
          <w:ilvl w:val="0"/>
          <w:numId w:val="3"/>
        </w:numPr>
      </w:pPr>
      <w:r>
        <w:rPr>
          <w:rFonts w:hint="eastAsia"/>
        </w:rPr>
        <w:t>风险名称：</w:t>
      </w:r>
    </w:p>
    <w:p w14:paraId="2A5FCE10">
      <w:r>
        <w:rPr>
          <w:rFonts w:hint="eastAsia"/>
          <w:b w:val="1"/>
        </w:rPr>
        <w:t>风险对冲：</w:t>
      </w:r>
    </w:p>
    <w:p w14:paraId="68C907AD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五、长线投资者：筹码结构与散户拥挤度</w:t>
      </w:r>
    </w:p>
    <w:p w14:paraId="5A7260C9">
      <w:r>
        <w:rPr>
          <w:rFonts w:hint="eastAsia"/>
          <w:b w:val="1"/>
        </w:rPr>
        <w:t>股东户数变动：</w:t>
      </w:r>
    </w:p>
    <w:p w14:paraId="54926DEB">
      <w:r>
        <w:rPr>
          <w:rFonts w:hint="eastAsia"/>
          <w:b w:val="1"/>
        </w:rPr>
        <w:t>机构持仓（截至20XX年XX月XX日）：</w:t>
      </w:r>
    </w:p>
    <w:p w14:paraId="64DC9A1F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六、团队综合研判</w:t>
      </w:r>
    </w:p>
    <w:p w14:paraId="1A6DC2F0">
      <w:r>
        <w:rPr>
          <w:rFonts w:hint="eastAsia"/>
          <w:b w:val="1"/>
        </w:rPr>
        <w:t>定位判断：</w:t>
      </w:r>
    </w:p>
    <w:p w14:paraId="53779B9D">
      <w:r>
        <w:rPr>
          <w:rFonts w:hint="eastAsia"/>
          <w:b w:val="1"/>
        </w:rPr>
        <w:t>核心结论：</w:t>
      </w:r>
      <w:r>
        <w:rPr>
          <w:rFonts w:hint="eastAsia"/>
        </w:rPr>
        <w:t>不应再将其视为"</w:t>
      </w:r>
      <w:r>
        <w:rPr>
          <w:rFonts w:hint="eastAsia"/>
          <w:b w:val="1"/>
          <w:i w:val="1"/>
        </w:rPr>
        <w:t>"，而应视为"</w:t>
      </w:r>
      <w:r>
        <w:rPr>
          <w:rFonts w:hint="eastAsia"/>
        </w:rPr>
        <w:t>"。</w:t>
      </w:r>
    </w:p>
    <w:p w14:paraId="2F25E256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七、估值、业绩增速、机构持仓的横向对比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1661" w:type="dxa"/>
            <w:vAlign w:val="center"/>
          </w:tcPr>
          <w:p w14:paraId="26B915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1661" w:type="dxa"/>
            <w:vAlign w:val="center"/>
          </w:tcPr>
          <w:p w14:paraId="3FCAAD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本公司</w:t>
            </w:r>
          </w:p>
        </w:tc>
        <w:tc>
          <w:tcPr>
            <w:tcW w:w="1661" w:type="dxa"/>
            <w:vAlign w:val="center"/>
          </w:tcPr>
          <w:p w14:paraId="54E4A1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竞对A</w:t>
            </w:r>
          </w:p>
        </w:tc>
        <w:tc>
          <w:tcPr>
            <w:tcW w:w="1661" w:type="dxa"/>
            <w:vAlign w:val="center"/>
          </w:tcPr>
          <w:p w14:paraId="6DF238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竞对B</w:t>
            </w:r>
          </w:p>
        </w:tc>
        <w:tc>
          <w:tcPr>
            <w:tcW w:w="1661" w:type="dxa"/>
            <w:vAlign w:val="center"/>
          </w:tcPr>
          <w:p w14:paraId="64DBDE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其他</w:t>
            </w:r>
          </w:p>
        </w:tc>
      </w:tr>
      <w:tr>
        <w:trPr/>
        <w:tc>
          <w:tcPr>
            <w:tcW w:w="8306" w:type="dxa"/>
            <w:vAlign w:val="center"/>
          </w:tcPr>
          <w:p w14:paraId="1B328CA2">
            <w:r>
              <w:rPr>
                <w:rFonts w:hint="eastAsia"/>
              </w:rPr>
              <w:t>市占率</w:t>
            </w:r>
          </w:p>
        </w:tc>
      </w:tr>
      <w:tr>
        <w:trPr/>
        <w:tc>
          <w:tcPr>
            <w:tcW w:w="8306" w:type="dxa"/>
            <w:vAlign w:val="center"/>
          </w:tcPr>
          <w:p w14:paraId="6FB28437">
            <w:r>
              <w:rPr>
                <w:rFonts w:hint="eastAsia"/>
              </w:rPr>
              <w:t>营收增速</w:t>
            </w:r>
          </w:p>
        </w:tc>
      </w:tr>
      <w:tr>
        <w:trPr/>
        <w:tc>
          <w:tcPr>
            <w:tcW w:w="8306" w:type="dxa"/>
            <w:vAlign w:val="center"/>
          </w:tcPr>
          <w:p w14:paraId="22EDE712">
            <w:r>
              <w:rPr>
                <w:rFonts w:hint="eastAsia"/>
              </w:rPr>
              <w:t>毛利率</w:t>
            </w:r>
          </w:p>
        </w:tc>
      </w:tr>
      <w:tr>
        <w:trPr/>
        <w:tc>
          <w:tcPr>
            <w:tcW w:w="8306" w:type="dxa"/>
            <w:vAlign w:val="center"/>
          </w:tcPr>
          <w:p w14:paraId="595D467D">
            <w:r>
              <w:t>ROE</w:t>
            </w:r>
          </w:p>
        </w:tc>
      </w:tr>
      <w:tr>
        <w:trPr/>
        <w:tc>
          <w:tcPr>
            <w:tcW w:w="8306" w:type="dxa"/>
            <w:vAlign w:val="center"/>
          </w:tcPr>
          <w:p w14:paraId="6E49108F">
            <w:r>
              <w:t>PE</w:t>
            </w:r>
          </w:p>
        </w:tc>
      </w:tr>
      <w:tr>
        <w:trPr/>
        <w:tc>
          <w:tcPr>
            <w:tcW w:w="8306" w:type="dxa"/>
            <w:vAlign w:val="center"/>
          </w:tcPr>
          <w:p w14:paraId="60362CB3">
            <w:r>
              <w:rPr>
                <w:rFonts w:hint="eastAsia"/>
              </w:rPr>
              <w:t>订单能见度</w:t>
            </w:r>
          </w:p>
        </w:tc>
      </w:tr>
    </w:tbl>
    <w:p w14:paraId="702C6524">
      <w:r>
        <w:rPr>
          <w:rFonts w:hint="eastAsia"/>
          <w:b w:val="1"/>
        </w:rPr>
        <w:t>核心发现：</w:t>
      </w:r>
    </w:p>
    <w:p w14:paraId="00C95D5A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八、具体业务分析</w:t>
      </w:r>
    </w:p>
    <w:p w14:paraId="309383F5">
      <w:r>
        <w:rPr>
          <w:rFonts w:hint="eastAsia"/>
        </w:rPr>
        <w:t>■ 业务一：（业务定位 + 关键数据 + 战略含义）</w:t>
      </w:r>
    </w:p>
    <w:p w14:paraId="05128262">
      <w:r>
        <w:rPr>
          <w:rFonts w:hint="eastAsia"/>
        </w:rPr>
        <w:t>■ 业务二：</w:t>
      </w:r>
    </w:p>
    <w:p w14:paraId="5992829F">
      <w:r>
        <w:rPr>
          <w:rFonts w:hint="eastAsia"/>
        </w:rPr>
        <w:t>■ 业务三：</w:t>
      </w:r>
    </w:p>
    <w:p w14:paraId="533E8419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九、产业链分析：A→B→C→D 传导链条</w:t>
      </w:r>
    </w:p>
    <w:p w14:paraId="68275E70">
      <w:r>
        <w:rPr>
          <w:rFonts w:hint="eastAsia"/>
        </w:rPr>
        <w:t>第一环：</w:t>
      </w:r>
    </w:p>
    <w:p w14:paraId="00CF1938">
      <w:r>
        <w:rPr>
          <w:rFonts w:hint="eastAsia"/>
        </w:rPr>
        <w:t>第二环：</w:t>
      </w:r>
    </w:p>
    <w:p w14:paraId="19F760E0">
      <w:r>
        <w:rPr>
          <w:rFonts w:hint="eastAsia"/>
        </w:rPr>
        <w:t>第三环：</w:t>
      </w:r>
    </w:p>
    <w:p w14:paraId="0325AFB6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十、核心订单与交付推演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9E53F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时间节点</w:t>
            </w:r>
          </w:p>
        </w:tc>
        <w:tc>
          <w:tcPr>
            <w:tcW w:w="2768" w:type="dxa"/>
            <w:vAlign w:val="center"/>
          </w:tcPr>
          <w:p w14:paraId="6CB20F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交付内容</w:t>
            </w:r>
          </w:p>
        </w:tc>
        <w:tc>
          <w:tcPr>
            <w:tcW w:w="2768" w:type="dxa"/>
            <w:vAlign w:val="center"/>
          </w:tcPr>
          <w:p w14:paraId="235B1E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业绩影响</w:t>
            </w:r>
          </w:p>
        </w:tc>
      </w:tr>
    </w:tbl>
    <w:p w14:paraId="1CC92595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十一、持仓攻略：策略建议与操作纪律</w:t>
      </w:r>
    </w:p>
    <w:p w14:paraId="5081C07A">
      <w:r>
        <w:rPr>
          <w:rFonts w:hint="eastAsia"/>
          <w:b w:val="1"/>
        </w:rPr>
        <w:t>当前定位：</w:t>
      </w:r>
    </w:p>
    <w:p w14:paraId="1CECD309">
      <w:r>
        <w:rPr>
          <w:rFonts w:hint="eastAsia"/>
        </w:rPr>
        <w:t>🔴 激进型投资者：</w:t>
      </w:r>
    </w:p>
    <w:p w14:paraId="6957E398">
      <w:r>
        <w:rPr>
          <w:rFonts w:hint="eastAsia"/>
        </w:rPr>
        <w:t>🟡 稳健型投资者：</w:t>
      </w:r>
    </w:p>
    <w:p w14:paraId="35BEF47B">
      <w:r>
        <w:rPr>
          <w:rFonts w:hint="eastAsia"/>
        </w:rPr>
        <w:t>🟢 保守型投资者：</w:t>
      </w:r>
    </w:p>
    <w:p w14:paraId="4581CCC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核心跟踪指标清单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EC999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跟踪维度</w:t>
            </w:r>
          </w:p>
        </w:tc>
        <w:tc>
          <w:tcPr>
            <w:tcW w:w="2076" w:type="dxa"/>
            <w:vAlign w:val="center"/>
          </w:tcPr>
          <w:p w14:paraId="30128D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关键指标</w:t>
            </w:r>
          </w:p>
        </w:tc>
        <w:tc>
          <w:tcPr>
            <w:tcW w:w="2076" w:type="dxa"/>
            <w:vAlign w:val="center"/>
          </w:tcPr>
          <w:p w14:paraId="65A47D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观察窗口</w:t>
            </w:r>
          </w:p>
        </w:tc>
        <w:tc>
          <w:tcPr>
            <w:tcW w:w="2076" w:type="dxa"/>
            <w:vAlign w:val="center"/>
          </w:tcPr>
          <w:p w14:paraId="1EFBE8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达标信号</w:t>
            </w:r>
          </w:p>
        </w:tc>
      </w:tr>
    </w:tbl>
    <w:p w14:paraId="1C49978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十二、风险提示（必须牢记）</w:t>
      </w:r>
    </w:p>
    <w:p w14:paraId="7D83B3A1">
      <w:r>
        <w:rPr>
          <w:rFonts w:hint="eastAsia"/>
        </w:rPr>
        <w:t>免责声明：本报告基于公开信息整理分析，不构成投资建议。股市有风险，投资需谨慎。报告中盈利预测来源于券商研报，存在不确定性，请以公司公告为准。</w:t>
      </w:r>
    </w:p>
    <w:p w14:paraId="1C7B5BE5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2"/>
  </w:num>
  <w:num w:numId="3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2026-10-08T16:58:40Z</dcterms:created>
  <dcterms:modified xsi:type="dcterms:W3CDTF">2026-10-08T16:58:40Z</dcterms:modified>
</cp:coreProperties>
</file>