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27D"/>
          <w:sz w:val="32"/>
        </w:rPr>
        <w:t>BOUTIQUE DE SABORES</w:t>
      </w:r>
    </w:p>
    <w:p>
      <w:pPr>
        <w:pStyle w:val="Title"/>
        <w:jc w:val="center"/>
      </w:pPr>
      <w:r>
        <w:t>Manual de Usuario</w:t>
      </w:r>
    </w:p>
    <w:p>
      <w:pPr>
        <w:jc w:val="center"/>
      </w:pPr>
      <w:r>
        <w:rPr>
          <w:i/>
          <w:sz w:val="26"/>
        </w:rPr>
        <w:t>Sistema de gestión para tienda de sushi artesanal</w:t>
      </w:r>
    </w:p>
    <w:p/>
    <w:p>
      <w:pPr>
        <w:jc w:val="center"/>
      </w:pPr>
      <w:r>
        <w:rPr>
          <w:sz w:val="22"/>
        </w:rPr>
        <w:t>Guía operativa para usuarios de la aplicación</w:t>
      </w:r>
    </w:p>
    <w:p>
      <w:r>
        <w:br w:type="page"/>
      </w:r>
    </w:p>
    <w:p>
      <w:pPr>
        <w:pStyle w:val="Heading1"/>
      </w:pPr>
      <w:r>
        <w:t>Índice de contenidos</w:t>
      </w:r>
    </w:p>
    <w:p>
      <w:pPr>
        <w:pStyle w:val="ListBullet"/>
      </w:pPr>
      <w:r>
        <w:t>1. Presentación y alcance</w:t>
      </w:r>
    </w:p>
    <w:p>
      <w:pPr>
        <w:pStyle w:val="ListBullet"/>
      </w:pPr>
      <w:r>
        <w:t>2. Requisitos y acceso</w:t>
      </w:r>
    </w:p>
    <w:p>
      <w:pPr>
        <w:pStyle w:val="ListBullet"/>
      </w:pPr>
      <w:r>
        <w:t>3. Inicio de sesión y navegación</w:t>
      </w:r>
    </w:p>
    <w:p>
      <w:pPr>
        <w:pStyle w:val="ListBullet"/>
      </w:pPr>
      <w:r>
        <w:t>4. Productos</w:t>
      </w:r>
    </w:p>
    <w:p>
      <w:pPr>
        <w:pStyle w:val="ListBullet"/>
      </w:pPr>
      <w:r>
        <w:t>5. Promociones</w:t>
      </w:r>
    </w:p>
    <w:p>
      <w:pPr>
        <w:pStyle w:val="ListBullet"/>
      </w:pPr>
      <w:r>
        <w:t>6. Comandas</w:t>
      </w:r>
    </w:p>
    <w:p>
      <w:pPr>
        <w:pStyle w:val="ListBullet"/>
      </w:pPr>
      <w:r>
        <w:t>7. Caja y movimientos de caja</w:t>
      </w:r>
    </w:p>
    <w:p>
      <w:pPr>
        <w:pStyle w:val="ListBullet"/>
      </w:pPr>
      <w:r>
        <w:t>8. Stock y movimientos</w:t>
      </w:r>
    </w:p>
    <w:p>
      <w:pPr>
        <w:pStyle w:val="ListBullet"/>
      </w:pPr>
      <w:r>
        <w:t>9. Usuarios y permisos</w:t>
      </w:r>
    </w:p>
    <w:p>
      <w:pPr>
        <w:pStyle w:val="ListBullet"/>
      </w:pPr>
      <w:r>
        <w:t>10. Configuración y auditoría</w:t>
      </w:r>
    </w:p>
    <w:p>
      <w:pPr>
        <w:pStyle w:val="ListBullet"/>
      </w:pPr>
      <w:r>
        <w:t>11. Impresión y Print Agent</w:t>
      </w:r>
    </w:p>
    <w:p>
      <w:pPr>
        <w:pStyle w:val="ListBullet"/>
      </w:pPr>
      <w:r>
        <w:t>12. Buenas prácticas operativas</w:t>
      </w:r>
    </w:p>
    <w:p>
      <w:pPr>
        <w:pStyle w:val="ListBullet"/>
      </w:pPr>
      <w:r>
        <w:t>13. Resolución de problemas</w:t>
      </w:r>
    </w:p>
    <w:p>
      <w:pPr>
        <w:pStyle w:val="ListBullet"/>
      </w:pPr>
      <w:r>
        <w:t>14. Glosario y límites de esta guía</w:t>
      </w:r>
    </w:p>
    <w:p>
      <w:pPr>
        <w:pStyle w:val="Heading1"/>
      </w:pPr>
      <w:r>
        <w:t>1. Presentación y alcance</w:t>
      </w:r>
    </w:p>
    <w:p>
      <w:r>
        <w:t>Boutique de Sabores es una aplicación de gestión para una tienda de sushi artesanal. Permite trabajar con productos, promociones, comandas, caja, movimientos, stock, usuarios y configuración operativa. La aplicación está compuesta por una interfaz web (Frontend) y una API (Backend) que valida y guarda los datos en MongoDB.</w:t>
      </w:r>
    </w:p>
    <w:p>
      <w:r>
        <w:t>Este manual explica los flujos de trabajo a nivel funcional y cómo actuar ante los problemas más comunes. Los nombres exactos de botones, mensajes, campos obligatorios y opciones pueden variar según la versión instalada y los permisos de la cuenta. La guía se basa en los componentes y rutas identificados en el código entregado; no inventa contraseñas ni valores de configuración.</w:t>
      </w:r>
    </w:p>
    <w:p>
      <w:pPr>
        <w:pStyle w:val="Heading1"/>
      </w:pPr>
      <w:r>
        <w:t>2. Requisitos y acceso</w:t>
      </w:r>
    </w:p>
    <w:p>
      <w:pPr>
        <w:pStyle w:val="Heading2"/>
      </w:pPr>
      <w:r>
        <w:t>2.1 Requisitos para operar</w:t>
      </w:r>
    </w:p>
    <w:p>
      <w:pPr>
        <w:pStyle w:val="ListBullet"/>
      </w:pPr>
      <w:r>
        <w:t>Un navegador actualizado y acceso a la dirección donde está publicada la aplicación.</w:t>
      </w:r>
    </w:p>
    <w:p>
      <w:pPr>
        <w:pStyle w:val="ListBullet"/>
      </w:pPr>
      <w:r>
        <w:t>El Backend disponible y conectado a MongoDB.</w:t>
      </w:r>
    </w:p>
    <w:p>
      <w:pPr>
        <w:pStyle w:val="ListBullet"/>
      </w:pPr>
      <w:r>
        <w:t>Una cuenta habilitada por el administrador.</w:t>
      </w:r>
    </w:p>
    <w:p>
      <w:pPr>
        <w:pStyle w:val="ListBullet"/>
      </w:pPr>
      <w:r>
        <w:t>Si se imprimen tickets, el Print Agent instalado, iniciado y accesible desde el entorno de operación.</w:t>
      </w:r>
    </w:p>
    <w:p>
      <w:pPr>
        <w:pStyle w:val="Heading2"/>
      </w:pPr>
      <w:r>
        <w:t>2.2 Diferencia entre usuario operativo y administrador</w:t>
      </w:r>
    </w:p>
    <w:p>
      <w:r>
        <w:t>Las rutas de gestión requieren autenticación. Algunas funciones son exclusivas de administración: el código aplica permisos administrativos a la consulta y gestión de usuarios, la consulta de auditoría, la actualización de configuración y el ajuste masivo de stock. Si una opción no está disponible o devuelve un error de permisos, solicite al administrador que revise el rol asignado.</w:t>
      </w:r>
    </w:p>
    <w:p>
      <w:pPr>
        <w:pStyle w:val="Heading1"/>
      </w:pPr>
      <w:r>
        <w:t>3. Inicio de sesión y navegación</w:t>
      </w:r>
    </w:p>
    <w:p>
      <w:pPr>
        <w:pStyle w:val="Heading2"/>
      </w:pPr>
      <w:r>
        <w:t>3.1 Iniciar sesión</w:t>
      </w:r>
    </w:p>
    <w:p>
      <w:pPr>
        <w:pStyle w:val="ListNumber"/>
      </w:pPr>
      <w:r>
        <w:t>Abrir la URL de la aplicación en el navegador.</w:t>
      </w:r>
    </w:p>
    <w:p>
      <w:pPr>
        <w:pStyle w:val="ListNumber"/>
      </w:pPr>
      <w:r>
        <w:t>Entrar en la pantalla de inicio de sesión.</w:t>
      </w:r>
    </w:p>
    <w:p>
      <w:pPr>
        <w:pStyle w:val="ListNumber"/>
      </w:pPr>
      <w:r>
        <w:t>Introducir las credenciales asignadas por el administrador y enviar el formulario.</w:t>
      </w:r>
    </w:p>
    <w:p>
      <w:pPr>
        <w:pStyle w:val="ListNumber"/>
      </w:pPr>
      <w:r>
        <w:t>Si el acceso es válido, la aplicación permite entrar a las pantallas protegidas. Si falla, revisar usuario, contraseña y disponibilidad del servidor.</w:t>
      </w:r>
    </w:p>
    <w:p>
      <w:pPr>
        <w:pStyle w:val="Heading2"/>
      </w:pPr>
      <w:r>
        <w:t>3.2 Secciones disponibles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Sección / ruta</w:t>
            </w:r>
          </w:p>
        </w:tc>
        <w:tc>
          <w:tcPr>
            <w:tcW w:type="dxa" w:w="4968"/>
            <w:vAlign w:val="center"/>
          </w:tcPr>
          <w:p>
            <w:r>
              <w:t>Uso principal</w:t>
            </w:r>
          </w:p>
        </w:tc>
      </w:tr>
      <w:tr>
        <w:tc>
          <w:tcPr>
            <w:tcW w:type="dxa" w:w="4968"/>
            <w:vAlign w:val="center"/>
          </w:tcPr>
          <w:p>
            <w:r>
              <w:t>Inicio (`/`)</w:t>
            </w:r>
          </w:p>
        </w:tc>
        <w:tc>
          <w:tcPr>
            <w:tcW w:type="dxa" w:w="4968"/>
            <w:vAlign w:val="center"/>
          </w:tcPr>
          <w:p>
            <w:r>
              <w:t>Pantalla inicial de la aplicación.</w:t>
            </w:r>
          </w:p>
        </w:tc>
      </w:tr>
      <w:tr>
        <w:tc>
          <w:tcPr>
            <w:tcW w:type="dxa" w:w="4968"/>
            <w:vAlign w:val="center"/>
          </w:tcPr>
          <w:p>
            <w:r>
              <w:t>Productos (`/products`)</w:t>
            </w:r>
          </w:p>
        </w:tc>
        <w:tc>
          <w:tcPr>
            <w:tcW w:type="dxa" w:w="4968"/>
            <w:vAlign w:val="center"/>
          </w:tcPr>
          <w:p>
            <w:r>
              <w:t>Consultar y gestionar productos.</w:t>
            </w:r>
          </w:p>
        </w:tc>
      </w:tr>
      <w:tr>
        <w:tc>
          <w:tcPr>
            <w:tcW w:type="dxa" w:w="4968"/>
            <w:vAlign w:val="center"/>
          </w:tcPr>
          <w:p>
            <w:r>
              <w:t>Promociones (`/promotions`)</w:t>
            </w:r>
          </w:p>
        </w:tc>
        <w:tc>
          <w:tcPr>
            <w:tcW w:type="dxa" w:w="4968"/>
            <w:vAlign w:val="center"/>
          </w:tcPr>
          <w:p>
            <w:r>
              <w:t>Consultar y gestionar promociones.</w:t>
            </w:r>
          </w:p>
        </w:tc>
      </w:tr>
      <w:tr>
        <w:tc>
          <w:tcPr>
            <w:tcW w:type="dxa" w:w="4968"/>
            <w:vAlign w:val="center"/>
          </w:tcPr>
          <w:p>
            <w:r>
              <w:t>Comandas (`/orders`)</w:t>
            </w:r>
          </w:p>
        </w:tc>
        <w:tc>
          <w:tcPr>
            <w:tcW w:type="dxa" w:w="4968"/>
            <w:vAlign w:val="center"/>
          </w:tcPr>
          <w:p>
            <w:r>
              <w:t>Consultar, crear y actualizar comandas.</w:t>
            </w:r>
          </w:p>
        </w:tc>
      </w:tr>
      <w:tr>
        <w:tc>
          <w:tcPr>
            <w:tcW w:type="dxa" w:w="4968"/>
            <w:vAlign w:val="center"/>
          </w:tcPr>
          <w:p>
            <w:r>
              <w:t>Caja (`/cashRegister`)</w:t>
            </w:r>
          </w:p>
        </w:tc>
        <w:tc>
          <w:tcPr>
            <w:tcW w:type="dxa" w:w="4968"/>
            <w:vAlign w:val="center"/>
          </w:tcPr>
          <w:p>
            <w:r>
              <w:t>Operaciones y consulta de caja.</w:t>
            </w:r>
          </w:p>
        </w:tc>
      </w:tr>
      <w:tr>
        <w:tc>
          <w:tcPr>
            <w:tcW w:type="dxa" w:w="4968"/>
            <w:vAlign w:val="center"/>
          </w:tcPr>
          <w:p>
            <w:r>
              <w:t>Inicio de sesión (`/login`)</w:t>
            </w:r>
          </w:p>
        </w:tc>
        <w:tc>
          <w:tcPr>
            <w:tcW w:type="dxa" w:w="4968"/>
            <w:vAlign w:val="center"/>
          </w:tcPr>
          <w:p>
            <w:r>
              <w:t>Acceso a la aplicación.</w:t>
            </w:r>
          </w:p>
        </w:tc>
      </w:tr>
    </w:tbl>
    <w:p/>
    <w:p>
      <w:r>
        <w:t>Las rutas privadas están protegidas por componentes de autenticación y un layout privado. Si se abre una ruta no reconocida, el enrutador redirige a la ruta inicial.</w:t>
      </w:r>
    </w:p>
    <w:p>
      <w:pPr>
        <w:pStyle w:val="Heading1"/>
      </w:pPr>
      <w:r>
        <w:t>3.3 Carga inicial</w:t>
      </w:r>
    </w:p>
    <w:p>
      <w:r>
        <w:t>Al iniciar, el Frontend carga los datos principales (productos, comandas, caja, movimientos de caja y promociones) y luego abre la conexión WebSocket para recibir cambios. Si la carga queda detenida, no recargue repetidamente: primero compruebe la API y la conexión a la base de datos.</w:t>
      </w:r>
    </w:p>
    <w:p>
      <w:pPr>
        <w:pStyle w:val="Heading1"/>
      </w:pPr>
      <w:r>
        <w:t>4. Productos</w:t>
      </w:r>
    </w:p>
    <w:p>
      <w:pPr>
        <w:pStyle w:val="Heading1"/>
      </w:pPr>
      <w:r>
        <w:t>4.1 Objetivo</w:t>
      </w:r>
    </w:p>
    <w:p>
      <w:r>
        <w:t>La sección Productos permite consultar productos y dispone de componentes de gestión y formularios para crear o actualizar registros. Los campos concretos dependen del esquema de producto de la versión instalada.</w:t>
      </w:r>
    </w:p>
    <w:p>
      <w:pPr>
        <w:pStyle w:val="Heading1"/>
      </w:pPr>
      <w:r>
        <w:t>4.2 Procedimiento recomendado para crear o editar</w:t>
      </w:r>
    </w:p>
    <w:p>
      <w:pPr>
        <w:pStyle w:val="ListNumber"/>
      </w:pPr>
      <w:r>
        <w:t>Entrar en Productos.</w:t>
      </w:r>
    </w:p>
    <w:p>
      <w:pPr>
        <w:pStyle w:val="ListNumber"/>
      </w:pPr>
      <w:r>
        <w:t>Revisar el listado para comprobar si el producto ya existe antes de crear uno nuevo.</w:t>
      </w:r>
    </w:p>
    <w:p>
      <w:pPr>
        <w:pStyle w:val="ListNumber"/>
      </w:pPr>
      <w:r>
        <w:t>Usar la acción de alta o edición disponible en la interfaz.</w:t>
      </w:r>
    </w:p>
    <w:p>
      <w:pPr>
        <w:pStyle w:val="ListNumber"/>
      </w:pPr>
      <w:r>
        <w:t>Completar los campos solicitados por el formulario; revisar especialmente nombre, precio, información de stock y cualquier atributo marcado como obligatorio.</w:t>
      </w:r>
    </w:p>
    <w:p>
      <w:pPr>
        <w:pStyle w:val="ListNumber"/>
      </w:pPr>
      <w:r>
        <w:t>Guardar y esperar la confirmación visual.</w:t>
      </w:r>
    </w:p>
    <w:p>
      <w:pPr>
        <w:pStyle w:val="ListNumber"/>
      </w:pPr>
      <w:r>
        <w:t>Verificar que el registro aparezca en el listado y que los datos mostrados sean correctos.</w:t>
      </w:r>
    </w:p>
    <w:p>
      <w:pPr>
        <w:pStyle w:val="Heading2"/>
      </w:pPr>
      <w:r>
        <w:t>4.3 Recomendaciones</w:t>
      </w:r>
    </w:p>
    <w:p>
      <w:pPr>
        <w:pStyle w:val="ListBullet"/>
      </w:pPr>
      <w:r>
        <w:t>Evitar duplicar productos por diferencias menores de escritura.</w:t>
      </w:r>
    </w:p>
    <w:p>
      <w:pPr>
        <w:pStyle w:val="ListBullet"/>
      </w:pPr>
      <w:r>
        <w:t>Revisar los precios antes de confirmar cambios.</w:t>
      </w:r>
    </w:p>
    <w:p>
      <w:pPr>
        <w:pStyle w:val="ListBullet"/>
      </w:pPr>
      <w:r>
        <w:t>Cuando se modifica stock, comprobar la cantidad final y el historial de movimientos si está disponible.</w:t>
      </w:r>
    </w:p>
    <w:p>
      <w:pPr>
        <w:pStyle w:val="ListBullet"/>
      </w:pPr>
      <w:r>
        <w:t>Si el Backend devuelve un error de validación, revisar los campos indicados y corregirlos antes de volver a guardar.</w:t>
      </w:r>
    </w:p>
    <w:p>
      <w:pPr>
        <w:pStyle w:val="Heading1"/>
      </w:pPr>
      <w:r>
        <w:t>5. Promociones</w:t>
      </w:r>
    </w:p>
    <w:p>
      <w:r>
        <w:t>La sección Promociones permite listar, crear y actualizar promociones. El Frontend incluye formularios y validación específicos para este recurso.</w:t>
      </w:r>
    </w:p>
    <w:p>
      <w:pPr>
        <w:pStyle w:val="ListNumber"/>
      </w:pPr>
      <w:r>
        <w:t>Abrir Promociones.</w:t>
      </w:r>
    </w:p>
    <w:p>
      <w:pPr>
        <w:pStyle w:val="ListNumber"/>
      </w:pPr>
      <w:r>
        <w:t>Consultar las promociones existentes y comprobar si una equivalente ya está registrada.</w:t>
      </w:r>
    </w:p>
    <w:p>
      <w:pPr>
        <w:pStyle w:val="ListNumber"/>
      </w:pPr>
      <w:r>
        <w:t>Crear una promoción o seleccionar una para editarla.</w:t>
      </w:r>
    </w:p>
    <w:p>
      <w:pPr>
        <w:pStyle w:val="ListNumber"/>
      </w:pPr>
      <w:r>
        <w:t>Completar los datos requeridos por el formulario de la versión instalada.</w:t>
      </w:r>
    </w:p>
    <w:p>
      <w:pPr>
        <w:pStyle w:val="ListNumber"/>
      </w:pPr>
      <w:r>
        <w:t>Guardar y verificar el resultado en el listado.</w:t>
      </w:r>
    </w:p>
    <w:p>
      <w:r>
        <w:t>Antes de usar una promoción en una comanda, comprobar que sus datos, precio y vigencia (si la interfaz la maneja) sean correctos. No suponga que una promoción se aplica automáticamente si la interfaz no la muestra seleccionada.</w:t>
      </w:r>
    </w:p>
    <w:p>
      <w:pPr>
        <w:pStyle w:val="Heading1"/>
      </w:pPr>
      <w:r>
        <w:t>6. Comandas</w:t>
      </w:r>
    </w:p>
    <w:p>
      <w:pPr>
        <w:pStyle w:val="Heading1"/>
      </w:pPr>
      <w:r>
        <w:t>6.1 Objetivo</w:t>
      </w:r>
    </w:p>
    <w:p>
      <w:r>
        <w:t>Las comandas representan los pedidos que registra el negocio. El Backend expone operaciones de consulta, creación y actualización. El Frontend incluye flujos para nueva comanda y gestión de comandas.</w:t>
      </w:r>
    </w:p>
    <w:p>
      <w:pPr>
        <w:pStyle w:val="Heading1"/>
      </w:pPr>
      <w:r>
        <w:t>6.2 Preparar una comanda</w:t>
      </w:r>
    </w:p>
    <w:p>
      <w:pPr>
        <w:pStyle w:val="ListNumber"/>
      </w:pPr>
      <w:r>
        <w:t>Entrar en Comandas y abrir el flujo de creación disponible.</w:t>
      </w:r>
    </w:p>
    <w:p>
      <w:pPr>
        <w:pStyle w:val="ListNumber"/>
      </w:pPr>
      <w:r>
        <w:t>Completar los datos de cliente que solicite el formulario.</w:t>
      </w:r>
    </w:p>
    <w:p>
      <w:pPr>
        <w:pStyle w:val="ListNumber"/>
      </w:pPr>
      <w:r>
        <w:t>Agregar productos o promociones disponibles y revisar cantidades.</w:t>
      </w:r>
    </w:p>
    <w:p>
      <w:pPr>
        <w:pStyle w:val="ListNumber"/>
      </w:pPr>
      <w:r>
        <w:t>Revisar extras, guarniciones u opciones adicionales si aparecen en el formulario.</w:t>
      </w:r>
    </w:p>
    <w:p>
      <w:pPr>
        <w:pStyle w:val="ListNumber"/>
      </w:pPr>
      <w:r>
        <w:t>Seleccionar el método de pago y completar los importes cuando corresponda.</w:t>
      </w:r>
    </w:p>
    <w:p>
      <w:pPr>
        <w:pStyle w:val="ListNumber"/>
      </w:pPr>
      <w:r>
        <w:t>Revisar descuentos, entrega, subtotal y total antes de confirmar.</w:t>
      </w:r>
    </w:p>
    <w:p>
      <w:pPr>
        <w:pStyle w:val="ListNumber"/>
      </w:pPr>
      <w:r>
        <w:t>Crear la comanda y comprobar que aparezca en el listado.</w:t>
      </w:r>
    </w:p>
    <w:p>
      <w:pPr>
        <w:pStyle w:val="Heading2"/>
      </w:pPr>
      <w:r>
        <w:t>6.3 Revisar o actualizar una comanda</w:t>
      </w:r>
    </w:p>
    <w:p>
      <w:pPr>
        <w:pStyle w:val="ListNumber"/>
      </w:pPr>
      <w:r>
        <w:t>Localizar la comanda en el listado.</w:t>
      </w:r>
    </w:p>
    <w:p>
      <w:pPr>
        <w:pStyle w:val="ListNumber"/>
      </w:pPr>
      <w:r>
        <w:t>Verificar número, cliente, ítems, cantidades, importe y estado.</w:t>
      </w:r>
    </w:p>
    <w:p>
      <w:pPr>
        <w:pStyle w:val="ListNumber"/>
      </w:pPr>
      <w:r>
        <w:t>Usar la acción de modificación habilitada por la interfaz.</w:t>
      </w:r>
    </w:p>
    <w:p>
      <w:pPr>
        <w:pStyle w:val="ListNumber"/>
      </w:pPr>
      <w:r>
        <w:t>Revisar nuevamente totales y forma de pago antes de guardar.</w:t>
      </w:r>
    </w:p>
    <w:p>
      <w:pPr>
        <w:pStyle w:val="ListNumber"/>
      </w:pPr>
      <w:r>
        <w:t>Confirmar que el cambio quedó reflejado en la comanda.</w:t>
      </w:r>
    </w:p>
    <w:p>
      <w:pPr>
        <w:pStyle w:val="Heading2"/>
      </w:pPr>
      <w:r>
        <w:t>6.4 Buenas prácticas</w:t>
      </w:r>
    </w:p>
    <w:p>
      <w:pPr>
        <w:pStyle w:val="ListBullet"/>
      </w:pPr>
      <w:r>
        <w:t>Confirmar cantidades, extras y guarniciones antes de crear el pedido.</w:t>
      </w:r>
    </w:p>
    <w:p>
      <w:pPr>
        <w:pStyle w:val="ListBullet"/>
      </w:pPr>
      <w:r>
        <w:t>Revisar el importe total y la distribución de pagos antes de confirmar.</w:t>
      </w:r>
    </w:p>
    <w:p>
      <w:pPr>
        <w:pStyle w:val="ListBullet"/>
      </w:pPr>
      <w:r>
        <w:t>No registrar una segunda comanda para reemplazar una anterior sin verificar primero si la original ya se guardó.</w:t>
      </w:r>
    </w:p>
    <w:p>
      <w:pPr>
        <w:pStyle w:val="ListBullet"/>
      </w:pPr>
      <w:r>
        <w:t>Si se pierde la conexión durante el guardado, consultar el listado antes de repetir la operación para evitar duplicados.</w:t>
      </w:r>
    </w:p>
    <w:p>
      <w:pPr>
        <w:pStyle w:val="Heading1"/>
      </w:pPr>
      <w:r>
        <w:t>7. Caja y movimientos de caja</w:t>
      </w:r>
    </w:p>
    <w:p>
      <w:pPr>
        <w:pStyle w:val="Heading1"/>
      </w:pPr>
      <w:r>
        <w:t>7.1 Caja</w:t>
      </w:r>
    </w:p>
    <w:p>
      <w:r>
        <w:t>La sección Caja dispone de componentes para mostrar el estado de caja y formularios para apertura y cierre. Los valores y reglas aplicables dependen de los datos configurados y de la versión instalada.</w:t>
      </w:r>
    </w:p>
    <w:p>
      <w:pPr>
        <w:pStyle w:val="ListNumber"/>
      </w:pPr>
      <w:r>
        <w:t>Abrir Caja y revisar el estado actual.</w:t>
      </w:r>
    </w:p>
    <w:p>
      <w:pPr>
        <w:pStyle w:val="ListNumber"/>
      </w:pPr>
      <w:r>
        <w:t>Si corresponde iniciar una jornada, utilizar el flujo de apertura disponible e introducir los valores solicitados.</w:t>
      </w:r>
    </w:p>
    <w:p>
      <w:pPr>
        <w:pStyle w:val="ListNumber"/>
      </w:pPr>
      <w:r>
        <w:t>Durante la operación, registrar los movimientos de dinero de acuerdo con su naturaleza y descripción.</w:t>
      </w:r>
    </w:p>
    <w:p>
      <w:pPr>
        <w:pStyle w:val="ListNumber"/>
      </w:pPr>
      <w:r>
        <w:t>Antes del cierre, revisar los movimientos y los importes acumulados.</w:t>
      </w:r>
    </w:p>
    <w:p>
      <w:pPr>
        <w:pStyle w:val="ListNumber"/>
      </w:pPr>
      <w:r>
        <w:t>Utilizar el formulario de cierre cuando corresponda y verificar el resultado.</w:t>
      </w:r>
    </w:p>
    <w:p>
      <w:pPr>
        <w:pStyle w:val="Heading2"/>
      </w:pPr>
      <w:r>
        <w:t>7.2 Movimientos de caja</w:t>
      </w:r>
    </w:p>
    <w:p>
      <w:r>
        <w:t>El sistema dispone de operaciones para consultar, crear y actualizar movimientos de caja. Al registrar un movimiento, elegir correctamente el tipo, el importe y la descripción que solicite la interfaz. Guardar el comprobante o referencia interna según el procedimiento del negocio.</w:t>
      </w:r>
    </w:p>
    <w:p>
      <w:pPr>
        <w:pStyle w:val="Heading2"/>
      </w:pPr>
      <w:r>
        <w:t>7.3 Conciliación</w:t>
      </w:r>
    </w:p>
    <w:p>
      <w:pPr>
        <w:pStyle w:val="ListBullet"/>
      </w:pPr>
      <w:r>
        <w:t>Comparar los importes de la aplicación con el efectivo y medios de pago realmente recibidos.</w:t>
      </w:r>
    </w:p>
    <w:p>
      <w:pPr>
        <w:pStyle w:val="ListBullet"/>
      </w:pPr>
      <w:r>
        <w:t>Revisar pagos divididos por más de un medio, cuando se utilicen.</w:t>
      </w:r>
    </w:p>
    <w:p>
      <w:pPr>
        <w:pStyle w:val="ListBullet"/>
      </w:pPr>
      <w:r>
        <w:t>Investigar diferencias antes de cerrar la jornada.</w:t>
      </w:r>
    </w:p>
    <w:p>
      <w:pPr>
        <w:pStyle w:val="ListBullet"/>
      </w:pPr>
      <w:r>
        <w:t>Si se corrige un movimiento, dejar una descripción clara y seguir las políticas internas de autorización.</w:t>
      </w:r>
    </w:p>
    <w:p>
      <w:pPr>
        <w:pStyle w:val="Heading1"/>
      </w:pPr>
      <w:r>
        <w:t>8. Stock y movimientos</w:t>
      </w:r>
    </w:p>
    <w:p>
      <w:r>
        <w:t>El Backend incluye un recurso de movimientos de stock y un endpoint de ajuste masivo restringido a administración. Los formularios del Frontend permiten registrar operaciones de stock según las opciones habilitadas.</w:t>
      </w:r>
    </w:p>
    <w:p>
      <w:pPr>
        <w:pStyle w:val="ListNumber"/>
      </w:pPr>
      <w:r>
        <w:t>Consultar el producto y la cantidad disponible.</w:t>
      </w:r>
    </w:p>
    <w:p>
      <w:pPr>
        <w:pStyle w:val="ListNumber"/>
      </w:pPr>
      <w:r>
        <w:t>Elegir el tipo de movimiento o ajuste que corresponda en la interfaz.</w:t>
      </w:r>
    </w:p>
    <w:p>
      <w:pPr>
        <w:pStyle w:val="ListNumber"/>
      </w:pPr>
      <w:r>
        <w:t>Introducir cantidad y descripción solicitadas.</w:t>
      </w:r>
    </w:p>
    <w:p>
      <w:pPr>
        <w:pStyle w:val="ListNumber"/>
      </w:pPr>
      <w:r>
        <w:t>Revisar el dato antes de guardar.</w:t>
      </w:r>
    </w:p>
    <w:p>
      <w:pPr>
        <w:pStyle w:val="ListNumber"/>
      </w:pPr>
      <w:r>
        <w:t>Volver al producto y verificar el resultado.</w:t>
      </w:r>
    </w:p>
    <w:p>
      <w:r>
        <w:t>El ajuste masivo puede afectar múltiples productos. Debe ejecutarlo únicamente personal autorizado, con cantidades verificadas y una revisión posterior de los resultados.</w:t>
      </w:r>
    </w:p>
    <w:p>
      <w:pPr>
        <w:pStyle w:val="Heading1"/>
      </w:pPr>
      <w:r>
        <w:t>9. Usuarios y permisos</w:t>
      </w:r>
    </w:p>
    <w:p>
      <w:r>
        <w:t>El Backend restringe la administración de usuarios a un administrador. El Frontend contiene una sección y formularios para gestionarlos.</w:t>
      </w:r>
    </w:p>
    <w:p>
      <w:pPr>
        <w:pStyle w:val="ListNumber"/>
      </w:pPr>
      <w:r>
        <w:t>Solicitar al administrador acceso a la gestión de usuarios si el menú no está disponible.</w:t>
      </w:r>
    </w:p>
    <w:p>
      <w:pPr>
        <w:pStyle w:val="ListNumber"/>
      </w:pPr>
      <w:r>
        <w:t>Al crear una cuenta, ingresar únicamente los datos requeridos por el formulario.</w:t>
      </w:r>
    </w:p>
    <w:p>
      <w:pPr>
        <w:pStyle w:val="ListNumber"/>
      </w:pPr>
      <w:r>
        <w:t>Asignar el rol mínimo necesario para las tareas del usuario.</w:t>
      </w:r>
    </w:p>
    <w:p>
      <w:pPr>
        <w:pStyle w:val="ListNumber"/>
      </w:pPr>
      <w:r>
        <w:t>Al editar una cuenta, comprobar que se seleccionó el usuario correcto.</w:t>
      </w:r>
    </w:p>
    <w:p>
      <w:pPr>
        <w:pStyle w:val="ListNumber"/>
      </w:pPr>
      <w:r>
        <w:t>Informar inmediatamente si se detecta una cuenta desconocida o acceso no autorizado.</w:t>
      </w:r>
    </w:p>
    <w:p>
      <w:r>
        <w:t>No compartir credenciales entre personas. Las contraseñas deben ser individuales y mantenerse privadas.</w:t>
      </w:r>
    </w:p>
    <w:p>
      <w:pPr>
        <w:pStyle w:val="Heading1"/>
      </w:pPr>
      <w:r>
        <w:t>10. Configuración y auditoría</w:t>
      </w:r>
    </w:p>
    <w:p>
      <w:pPr>
        <w:pStyle w:val="Heading2"/>
      </w:pPr>
      <w:r>
        <w:t>10.1 Configuración</w:t>
      </w:r>
    </w:p>
    <w:p>
      <w:r>
        <w:t>El Backend dispone de un endpoint de consulta de configuración operativa y restringe su actualización a administradores. Si un parámetro de operación requiere cambio, solicitarlo a una persona autorizada y comprobar el comportamiento posterior.</w:t>
      </w:r>
    </w:p>
    <w:p>
      <w:pPr>
        <w:pStyle w:val="Heading2"/>
      </w:pPr>
      <w:r>
        <w:t>10.2 Auditoría</w:t>
      </w:r>
    </w:p>
    <w:p>
      <w:r>
        <w:t>Existe un endpoint de actividad reciente accesible para administración. La auditoría permite revisar eventos registrados por el sistema. Si se investiga una modificación, reunir fecha aproximada, recurso afectado y usuario involucrado y pedir al administrador que consulte el registro.</w:t>
      </w:r>
    </w:p>
    <w:p>
      <w:pPr>
        <w:pStyle w:val="Heading1"/>
      </w:pPr>
      <w:r>
        <w:t>11. Impresión y Print Agent</w:t>
      </w:r>
    </w:p>
    <w:p>
      <w:pPr>
        <w:pStyle w:val="Heading2"/>
      </w:pPr>
      <w:r>
        <w:t>11.1 Componentes separados</w:t>
      </w:r>
    </w:p>
    <w:p>
      <w:r>
        <w:t>El Print Agent es un servicio independiente de la API principal de gestión. El Frontend usa una URL separada para consultarlo. Que el Frontend pueda cargar productos o comandas no garantiza que el agente de impresión esté disponible.</w:t>
      </w:r>
    </w:p>
    <w:p>
      <w:pPr>
        <w:pStyle w:val="Heading2"/>
      </w:pPr>
      <w:r>
        <w:t>11.2 Verificación básica</w:t>
      </w:r>
    </w:p>
    <w:p>
      <w:pPr>
        <w:pStyle w:val="ListNumber"/>
      </w:pPr>
      <w:r>
        <w:t>Comprobar que la computadora de impresión esté encendida y conectada a la red.</w:t>
      </w:r>
    </w:p>
    <w:p>
      <w:pPr>
        <w:pStyle w:val="ListNumber"/>
      </w:pPr>
      <w:r>
        <w:t>Confirmar que el Print Agent esté iniciado en esa computadora.</w:t>
      </w:r>
    </w:p>
    <w:p>
      <w:pPr>
        <w:pStyle w:val="ListNumber"/>
      </w:pPr>
      <w:r>
        <w:t>Revisar que la URL de Print Agent configurada para el Frontend sea correcta y accesible desde el navegador.</w:t>
      </w:r>
    </w:p>
    <w:p>
      <w:pPr>
        <w:pStyle w:val="ListNumber"/>
      </w:pPr>
      <w:r>
        <w:t>Consultar el estado de salud del agente y, por separado, el estado detallado de la impresora.</w:t>
      </w:r>
    </w:p>
    <w:p>
      <w:pPr>
        <w:pStyle w:val="ListNumber"/>
      </w:pPr>
      <w:r>
        <w:t>Revisar que la impresora esté encendida, conectada, con papel y sin errores locales.</w:t>
      </w:r>
    </w:p>
    <w:p>
      <w:pPr>
        <w:pStyle w:val="ListNumber"/>
      </w:pPr>
      <w:r>
        <w:t>Si un endpoint excede el tiempo de espera, registrar el endpoint exacto y el mensaje de error para el soporte técnico.</w:t>
      </w:r>
    </w:p>
    <w:p>
      <w:r>
        <w:t>Un timeout al consultar el estado detallado de la impresora no prueba por sí solo que todo el Print Agent esté desconectado. El servicio puede responder a la comprobación de salud y fallar o demorarse al consultar el controlador o la cola de impresión.</w:t>
      </w:r>
    </w:p>
    <w:p>
      <w:pPr>
        <w:pStyle w:val="Heading1"/>
      </w:pPr>
      <w:r>
        <w:t>12. Buenas prácticas operativas</w:t>
      </w:r>
    </w:p>
    <w:p>
      <w:pPr>
        <w:pStyle w:val="ListBullet"/>
      </w:pPr>
      <w:r>
        <w:t>Verificar el cliente, los ítems, cantidades y totales antes de confirmar una comanda.</w:t>
      </w:r>
    </w:p>
    <w:p>
      <w:pPr>
        <w:pStyle w:val="ListBullet"/>
      </w:pPr>
      <w:r>
        <w:t>Consultar el listado antes de repetir una operación que quedó sin confirmación.</w:t>
      </w:r>
    </w:p>
    <w:p>
      <w:pPr>
        <w:pStyle w:val="ListBullet"/>
      </w:pPr>
      <w:r>
        <w:t>Evitar compartir cuentas o dejar sesiones abiertas en equipos públicos.</w:t>
      </w:r>
    </w:p>
    <w:p>
      <w:pPr>
        <w:pStyle w:val="ListBullet"/>
      </w:pPr>
      <w:r>
        <w:t>No alterar stock, caja ni usuarios sin autorización.</w:t>
      </w:r>
    </w:p>
    <w:p>
      <w:pPr>
        <w:pStyle w:val="ListBullet"/>
      </w:pPr>
      <w:r>
        <w:t>Al detectar diferencias, documentar el dato observado, la hora y los pasos previos.</w:t>
      </w:r>
    </w:p>
    <w:p>
      <w:pPr>
        <w:pStyle w:val="ListBullet"/>
      </w:pPr>
      <w:r>
        <w:t>Realizar tareas de administración con respaldo y verificación posterior.</w:t>
      </w:r>
    </w:p>
    <w:p>
      <w:pPr>
        <w:pStyle w:val="ListBullet"/>
      </w:pPr>
      <w:r>
        <w:t>No exponer credenciales, tokens ni datos sensibles en capturas o mensajes de soporte.</w:t>
      </w:r>
    </w:p>
    <w:p>
      <w:pPr>
        <w:pStyle w:val="Heading1"/>
      </w:pPr>
      <w:r>
        <w:t>13. Resolución de problemas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Problema</w:t>
            </w:r>
          </w:p>
        </w:tc>
        <w:tc>
          <w:tcPr>
            <w:tcW w:type="dxa" w:w="3312"/>
            <w:vAlign w:val="center"/>
          </w:tcPr>
          <w:p>
            <w:r>
              <w:t>Qué comprobar</w:t>
            </w:r>
          </w:p>
        </w:tc>
        <w:tc>
          <w:tcPr>
            <w:tcW w:type="dxa" w:w="3312"/>
            <w:vAlign w:val="center"/>
          </w:tcPr>
          <w:p>
            <w:r>
              <w:t>Acción sugerida</w:t>
            </w:r>
          </w:p>
        </w:tc>
      </w:tr>
      <w:tr>
        <w:tc>
          <w:tcPr>
            <w:tcW w:type="dxa" w:w="3312"/>
            <w:vAlign w:val="center"/>
          </w:tcPr>
          <w:p>
            <w:r>
              <w:t>No puedo iniciar sesión</w:t>
            </w:r>
          </w:p>
        </w:tc>
        <w:tc>
          <w:tcPr>
            <w:tcW w:type="dxa" w:w="3312"/>
            <w:vAlign w:val="center"/>
          </w:tcPr>
          <w:p>
            <w:r>
              <w:t>Credenciales, conectividad y estado de API.</w:t>
            </w:r>
          </w:p>
        </w:tc>
        <w:tc>
          <w:tcPr>
            <w:tcW w:type="dxa" w:w="3312"/>
            <w:vAlign w:val="center"/>
          </w:tcPr>
          <w:p>
            <w:r>
              <w:t>Revisar datos; si persiste, solicitar revisión del usuario y logs.</w:t>
            </w:r>
          </w:p>
        </w:tc>
      </w:tr>
      <w:tr>
        <w:tc>
          <w:tcPr>
            <w:tcW w:type="dxa" w:w="3312"/>
            <w:vAlign w:val="center"/>
          </w:tcPr>
          <w:p>
            <w:r>
              <w:t>Pantalla sin datos</w:t>
            </w:r>
          </w:p>
        </w:tc>
        <w:tc>
          <w:tcPr>
            <w:tcW w:type="dxa" w:w="3312"/>
            <w:vAlign w:val="center"/>
          </w:tcPr>
          <w:p>
            <w:r>
              <w:t>API, conexión de red, token y respuestas en Network.</w:t>
            </w:r>
          </w:p>
        </w:tc>
        <w:tc>
          <w:tcPr>
            <w:tcW w:type="dxa" w:w="3312"/>
            <w:vAlign w:val="center"/>
          </w:tcPr>
          <w:p>
            <w:r>
              <w:t>Verificar Backend y `VITE_API_URL`; comunicar código HTTP.</w:t>
            </w:r>
          </w:p>
        </w:tc>
      </w:tr>
      <w:tr>
        <w:tc>
          <w:tcPr>
            <w:tcW w:type="dxa" w:w="3312"/>
            <w:vAlign w:val="center"/>
          </w:tcPr>
          <w:p>
            <w:r>
              <w:t>Error 401</w:t>
            </w:r>
          </w:p>
        </w:tc>
        <w:tc>
          <w:tcPr>
            <w:tcW w:type="dxa" w:w="3312"/>
            <w:vAlign w:val="center"/>
          </w:tcPr>
          <w:p>
            <w:r>
              <w:t>Sesión vencida o token no enviado.</w:t>
            </w:r>
          </w:p>
        </w:tc>
        <w:tc>
          <w:tcPr>
            <w:tcW w:type="dxa" w:w="3312"/>
            <w:vAlign w:val="center"/>
          </w:tcPr>
          <w:p>
            <w:r>
              <w:t>Volver a iniciar sesión; escalar si se repite.</w:t>
            </w:r>
          </w:p>
        </w:tc>
      </w:tr>
      <w:tr>
        <w:tc>
          <w:tcPr>
            <w:tcW w:type="dxa" w:w="3312"/>
            <w:vAlign w:val="center"/>
          </w:tcPr>
          <w:p>
            <w:r>
              <w:t>Error 403</w:t>
            </w:r>
          </w:p>
        </w:tc>
        <w:tc>
          <w:tcPr>
            <w:tcW w:type="dxa" w:w="3312"/>
            <w:vAlign w:val="center"/>
          </w:tcPr>
          <w:p>
            <w:r>
              <w:t>Permisos insuficientes.</w:t>
            </w:r>
          </w:p>
        </w:tc>
        <w:tc>
          <w:tcPr>
            <w:tcW w:type="dxa" w:w="3312"/>
            <w:vAlign w:val="center"/>
          </w:tcPr>
          <w:p>
            <w:r>
              <w:t>Solicitar al administrador revisar el rol.</w:t>
            </w:r>
          </w:p>
        </w:tc>
      </w:tr>
      <w:tr>
        <w:tc>
          <w:tcPr>
            <w:tcW w:type="dxa" w:w="3312"/>
            <w:vAlign w:val="center"/>
          </w:tcPr>
          <w:p>
            <w:r>
              <w:t>Error 422</w:t>
            </w:r>
          </w:p>
        </w:tc>
        <w:tc>
          <w:tcPr>
            <w:tcW w:type="dxa" w:w="3312"/>
            <w:vAlign w:val="center"/>
          </w:tcPr>
          <w:p>
            <w:r>
              <w:t>Datos no válidos según el esquema.</w:t>
            </w:r>
          </w:p>
        </w:tc>
        <w:tc>
          <w:tcPr>
            <w:tcW w:type="dxa" w:w="3312"/>
            <w:vAlign w:val="center"/>
          </w:tcPr>
          <w:p>
            <w:r>
              <w:t>Corregir campos y tipos indicados por la respuesta.</w:t>
            </w:r>
          </w:p>
        </w:tc>
      </w:tr>
      <w:tr>
        <w:tc>
          <w:tcPr>
            <w:tcW w:type="dxa" w:w="3312"/>
            <w:vAlign w:val="center"/>
          </w:tcPr>
          <w:p>
            <w:r>
              <w:t>Cambios no se reflejan en otra PC</w:t>
            </w:r>
          </w:p>
        </w:tc>
        <w:tc>
          <w:tcPr>
            <w:tcW w:type="dxa" w:w="3312"/>
            <w:vAlign w:val="center"/>
          </w:tcPr>
          <w:p>
            <w:r>
              <w:t>WebSocket y evento del recurso.</w:t>
            </w:r>
          </w:p>
        </w:tc>
        <w:tc>
          <w:tcPr>
            <w:tcW w:type="dxa" w:w="3312"/>
            <w:vAlign w:val="center"/>
          </w:tcPr>
          <w:p>
            <w:r>
              <w:t>Verificar conexión; actualizar la vista si es necesario.</w:t>
            </w:r>
          </w:p>
        </w:tc>
      </w:tr>
      <w:tr>
        <w:tc>
          <w:tcPr>
            <w:tcW w:type="dxa" w:w="3312"/>
            <w:vAlign w:val="center"/>
          </w:tcPr>
          <w:p>
            <w:r>
              <w:t>Print Agent desconectado</w:t>
            </w:r>
          </w:p>
        </w:tc>
        <w:tc>
          <w:tcPr>
            <w:tcW w:type="dxa" w:w="3312"/>
            <w:vAlign w:val="center"/>
          </w:tcPr>
          <w:p>
            <w:r>
              <w:t>URL, proceso, firewall y endpoint específico.</w:t>
            </w:r>
          </w:p>
        </w:tc>
        <w:tc>
          <w:tcPr>
            <w:tcW w:type="dxa" w:w="3312"/>
            <w:vAlign w:val="center"/>
          </w:tcPr>
          <w:p>
            <w:r>
              <w:t>Probar salud y estado de impresora por separado.</w:t>
            </w:r>
          </w:p>
        </w:tc>
      </w:tr>
      <w:tr>
        <w:tc>
          <w:tcPr>
            <w:tcW w:type="dxa" w:w="3312"/>
            <w:vAlign w:val="center"/>
          </w:tcPr>
          <w:p>
            <w:r>
              <w:t>Timeout de impresora</w:t>
            </w:r>
          </w:p>
        </w:tc>
        <w:tc>
          <w:tcPr>
            <w:tcW w:type="dxa" w:w="3312"/>
            <w:vAlign w:val="center"/>
          </w:tcPr>
          <w:p>
            <w:r>
              <w:t>El endpoint de estado excede su límite.</w:t>
            </w:r>
          </w:p>
        </w:tc>
        <w:tc>
          <w:tcPr>
            <w:tcW w:type="dxa" w:w="3312"/>
            <w:vAlign w:val="center"/>
          </w:tcPr>
          <w:p>
            <w:r>
              <w:t>No asumir desconexión total; escalar con el endpoint y el tiempo.</w:t>
            </w:r>
          </w:p>
        </w:tc>
      </w:tr>
      <w:tr>
        <w:tc>
          <w:tcPr>
            <w:tcW w:type="dxa" w:w="3312"/>
            <w:vAlign w:val="center"/>
          </w:tcPr>
          <w:p>
            <w:r>
              <w:t>Operación dudosa tras perder conexión</w:t>
            </w:r>
          </w:p>
        </w:tc>
        <w:tc>
          <w:tcPr>
            <w:tcW w:type="dxa" w:w="3312"/>
            <w:vAlign w:val="center"/>
          </w:tcPr>
          <w:p>
            <w:r>
              <w:t>Si el registro ya aparece en el listado.</w:t>
            </w:r>
          </w:p>
        </w:tc>
        <w:tc>
          <w:tcPr>
            <w:tcW w:type="dxa" w:w="3312"/>
            <w:vAlign w:val="center"/>
          </w:tcPr>
          <w:p>
            <w:r>
              <w:t>Verificar antes de repetir para evitar duplicados.</w:t>
            </w:r>
          </w:p>
        </w:tc>
      </w:tr>
    </w:tbl>
    <w:p/>
    <w:p>
      <w:pPr>
        <w:pStyle w:val="Heading1"/>
      </w:pPr>
      <w:r>
        <w:t>14. Glosario y límites de esta guía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Término</w:t>
            </w:r>
          </w:p>
        </w:tc>
        <w:tc>
          <w:tcPr>
            <w:tcW w:type="dxa" w:w="4968"/>
            <w:vAlign w:val="center"/>
          </w:tcPr>
          <w:p>
            <w:r>
              <w:t>Significado</w:t>
            </w:r>
          </w:p>
        </w:tc>
      </w:tr>
      <w:tr>
        <w:tc>
          <w:tcPr>
            <w:tcW w:type="dxa" w:w="4968"/>
            <w:vAlign w:val="center"/>
          </w:tcPr>
          <w:p>
            <w:r>
              <w:t>Frontend</w:t>
            </w:r>
          </w:p>
        </w:tc>
        <w:tc>
          <w:tcPr>
            <w:tcW w:type="dxa" w:w="4968"/>
            <w:vAlign w:val="center"/>
          </w:tcPr>
          <w:p>
            <w:r>
              <w:t>Interfaz web con la que interactúa el usuario.</w:t>
            </w:r>
          </w:p>
        </w:tc>
      </w:tr>
      <w:tr>
        <w:tc>
          <w:tcPr>
            <w:tcW w:type="dxa" w:w="4968"/>
            <w:vAlign w:val="center"/>
          </w:tcPr>
          <w:p>
            <w:r>
              <w:t>Backend</w:t>
            </w:r>
          </w:p>
        </w:tc>
        <w:tc>
          <w:tcPr>
            <w:tcW w:type="dxa" w:w="4968"/>
            <w:vAlign w:val="center"/>
          </w:tcPr>
          <w:p>
            <w:r>
              <w:t>API que valida y procesa solicitudes.</w:t>
            </w:r>
          </w:p>
        </w:tc>
      </w:tr>
      <w:tr>
        <w:tc>
          <w:tcPr>
            <w:tcW w:type="dxa" w:w="4968"/>
            <w:vAlign w:val="center"/>
          </w:tcPr>
          <w:p>
            <w:r>
              <w:t>API REST</w:t>
            </w:r>
          </w:p>
        </w:tc>
        <w:tc>
          <w:tcPr>
            <w:tcW w:type="dxa" w:w="4968"/>
            <w:vAlign w:val="center"/>
          </w:tcPr>
          <w:p>
            <w:r>
              <w:t>Endpoints HTTP usados para consultar y modificar recursos.</w:t>
            </w:r>
          </w:p>
        </w:tc>
      </w:tr>
      <w:tr>
        <w:tc>
          <w:tcPr>
            <w:tcW w:type="dxa" w:w="4968"/>
            <w:vAlign w:val="center"/>
          </w:tcPr>
          <w:p>
            <w:r>
              <w:t>MongoDB</w:t>
            </w:r>
          </w:p>
        </w:tc>
        <w:tc>
          <w:tcPr>
            <w:tcW w:type="dxa" w:w="4968"/>
            <w:vAlign w:val="center"/>
          </w:tcPr>
          <w:p>
            <w:r>
              <w:t>Base de datos utilizada para persistir la información.</w:t>
            </w:r>
          </w:p>
        </w:tc>
      </w:tr>
      <w:tr>
        <w:tc>
          <w:tcPr>
            <w:tcW w:type="dxa" w:w="4968"/>
            <w:vAlign w:val="center"/>
          </w:tcPr>
          <w:p>
            <w:r>
              <w:t>WebSocket</w:t>
            </w:r>
          </w:p>
        </w:tc>
        <w:tc>
          <w:tcPr>
            <w:tcW w:type="dxa" w:w="4968"/>
            <w:vAlign w:val="center"/>
          </w:tcPr>
          <w:p>
            <w:r>
              <w:t>Canal persistente que permite recibir notificaciones de cambios.</w:t>
            </w:r>
          </w:p>
        </w:tc>
      </w:tr>
      <w:tr>
        <w:tc>
          <w:tcPr>
            <w:tcW w:type="dxa" w:w="4968"/>
            <w:vAlign w:val="center"/>
          </w:tcPr>
          <w:p>
            <w:r>
              <w:t>Print Agent</w:t>
            </w:r>
          </w:p>
        </w:tc>
        <w:tc>
          <w:tcPr>
            <w:tcW w:type="dxa" w:w="4968"/>
            <w:vAlign w:val="center"/>
          </w:tcPr>
          <w:p>
            <w:r>
              <w:t>Servicio separado que facilita la comunicación con la impresora.</w:t>
            </w:r>
          </w:p>
        </w:tc>
      </w:tr>
      <w:tr>
        <w:tc>
          <w:tcPr>
            <w:tcW w:type="dxa" w:w="4968"/>
            <w:vAlign w:val="center"/>
          </w:tcPr>
          <w:p>
            <w:r>
              <w:t>Endpoint</w:t>
            </w:r>
          </w:p>
        </w:tc>
        <w:tc>
          <w:tcPr>
            <w:tcW w:type="dxa" w:w="4968"/>
            <w:vAlign w:val="center"/>
          </w:tcPr>
          <w:p>
            <w:r>
              <w:t>Ruta HTTP que realiza una operación concreta.</w:t>
            </w:r>
          </w:p>
        </w:tc>
      </w:tr>
      <w:tr>
        <w:tc>
          <w:tcPr>
            <w:tcW w:type="dxa" w:w="4968"/>
            <w:vAlign w:val="center"/>
          </w:tcPr>
          <w:p>
            <w:r>
              <w:t>401 / 403 / 422</w:t>
            </w:r>
          </w:p>
        </w:tc>
        <w:tc>
          <w:tcPr>
            <w:tcW w:type="dxa" w:w="4968"/>
            <w:vAlign w:val="center"/>
          </w:tcPr>
          <w:p>
            <w:r>
              <w:t>Respuestas HTTP asociadas, respectivamente, a falta de autenticación, permisos insuficientes y datos no válidos.</w:t>
            </w:r>
          </w:p>
        </w:tc>
      </w:tr>
    </w:tbl>
    <w:p/>
    <w:p>
      <w:r>
        <w:t>Esta guía describe funciones identificadas en el código entregado. No sustituye las políticas internas del negocio ni la documentación del proveedor de impresoras. Si una pantalla difiere de lo descrito, prevalece el comportamiento de la versión instalada; actualice el manual junto con los cambios de la aplicación.</w:t>
      </w:r>
    </w:p>
    <w:p>
      <w:pPr>
        <w:pStyle w:val="Heading1"/>
      </w:pPr>
      <w:r>
        <w:t>Anexo A. Datos útiles para solicitar soporte</w:t>
      </w:r>
    </w:p>
    <w:p>
      <w:pPr>
        <w:pStyle w:val="ListBullet"/>
      </w:pPr>
      <w:r>
        <w:t>Pantalla o sección en la que ocurrió el problema.</w:t>
      </w:r>
    </w:p>
    <w:p>
      <w:pPr>
        <w:pStyle w:val="ListBullet"/>
      </w:pPr>
      <w:r>
        <w:t>Fecha y hora aproximadas.</w:t>
      </w:r>
    </w:p>
    <w:p>
      <w:pPr>
        <w:pStyle w:val="ListBullet"/>
      </w:pPr>
      <w:r>
        <w:t>Acción realizada inmediatamente antes del error.</w:t>
      </w:r>
    </w:p>
    <w:p>
      <w:pPr>
        <w:pStyle w:val="ListBullet"/>
      </w:pPr>
      <w:r>
        <w:t>Texto completo del mensaje y código HTTP, si existe.</w:t>
      </w:r>
    </w:p>
    <w:p>
      <w:pPr>
        <w:pStyle w:val="ListBullet"/>
      </w:pPr>
      <w:r>
        <w:t>Si el problema afecta a un usuario, a una computadora o a todas las sesiones.</w:t>
      </w:r>
    </w:p>
    <w:p>
      <w:pPr>
        <w:pStyle w:val="ListBullet"/>
      </w:pPr>
      <w:r>
        <w:t>En impresión, indicar si responde el endpoint de salud y cuál falla al consultar la impresora.</w:t>
      </w:r>
    </w:p>
    <w:p>
      <w:pPr>
        <w:pStyle w:val="ListBullet"/>
      </w:pPr>
      <w:r>
        <w:t>No adjuntar contraseñas, tokens, claves API ni cadenas de conexión.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7D"/>
        <w:sz w:val="16"/>
      </w:rPr>
      <w:t>Boutique de Sabores · Manual de Usuario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D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B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69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15A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F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