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934" w:rsidRDefault="00E87662">
      <w:pPr>
        <w:rPr>
          <w:rFonts w:hint="eastAsia"/>
          <w:lang w:eastAsia="zh-CN"/>
        </w:rPr>
      </w:pPr>
      <w:proofErr w:type="spellStart"/>
      <w:r>
        <w:t>控制方法</w:t>
      </w:r>
      <w:proofErr w:type="spellEnd"/>
      <w:r w:rsidR="003E7BF5">
        <w:rPr>
          <w:rFonts w:hint="eastAsia"/>
          <w:lang w:eastAsia="zh-CN"/>
        </w:rPr>
        <w:t>：</w:t>
      </w:r>
    </w:p>
    <w:p w:rsidR="006D6EC4" w:rsidRDefault="00E876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主从</w:t>
      </w:r>
      <w:r w:rsidR="006D6EC4">
        <w:rPr>
          <w:rFonts w:hint="eastAsia"/>
          <w:lang w:eastAsia="zh-CN"/>
        </w:rPr>
        <w:t>方式、下垂特性控制</w:t>
      </w:r>
      <w:r>
        <w:rPr>
          <w:rFonts w:hint="eastAsia"/>
          <w:lang w:eastAsia="zh-CN"/>
        </w:rPr>
        <w:t>、</w:t>
      </w:r>
      <w:r w:rsidR="006D6EC4">
        <w:rPr>
          <w:rFonts w:hint="eastAsia"/>
          <w:lang w:eastAsia="zh-CN"/>
        </w:rPr>
        <w:t>集中控制方式</w:t>
      </w:r>
    </w:p>
    <w:p w:rsidR="00A94A66" w:rsidRDefault="00A94A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主从方式</w:t>
      </w:r>
      <w:r w:rsidR="00E257C2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是将均流控制的功能分散到各个并联模块中。主模块逆变器采用电压控制，从</w:t>
      </w:r>
      <w:r w:rsidR="003E7BF5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逆变器采用电流控制。</w:t>
      </w:r>
      <w:r w:rsidR="003E7BF5">
        <w:rPr>
          <w:rFonts w:hint="eastAsia"/>
          <w:lang w:eastAsia="zh-CN"/>
        </w:rPr>
        <w:t>从模块的电流指令均有主模块的电压指令决定。</w:t>
      </w:r>
      <w:r>
        <w:rPr>
          <w:rFonts w:hint="eastAsia"/>
          <w:lang w:eastAsia="zh-CN"/>
        </w:rPr>
        <w:t>优点是该方法可以很好的实现静态均流。缺点是不能实现冗余控制</w:t>
      </w:r>
      <w:r w:rsidR="003E7BF5">
        <w:rPr>
          <w:rFonts w:hint="eastAsia"/>
          <w:lang w:eastAsia="zh-CN"/>
        </w:rPr>
        <w:t>，一旦</w:t>
      </w:r>
      <w:r>
        <w:rPr>
          <w:rFonts w:hint="eastAsia"/>
          <w:lang w:eastAsia="zh-CN"/>
        </w:rPr>
        <w:t>主控制模块损坏，会导致整个并联系统瘫痪。</w:t>
      </w:r>
    </w:p>
    <w:p w:rsidR="00E257C2" w:rsidRDefault="006D6E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下垂特性控制：</w:t>
      </w:r>
      <w:r w:rsidR="003E7BF5">
        <w:rPr>
          <w:rFonts w:hint="eastAsia"/>
          <w:lang w:eastAsia="zh-CN"/>
        </w:rPr>
        <w:t>利用逆变器输出的下垂特性，各个逆变器模块以自身的有功和无功功率为依据，调整自身输出电压的频率和幅值，来达到各台逆变器的均流控制功能。优点是不存在各个模块间的通讯问题，可以实现冗余控制。缺点是</w:t>
      </w:r>
      <w:r>
        <w:rPr>
          <w:rFonts w:hint="eastAsia"/>
          <w:lang w:eastAsia="zh-CN"/>
        </w:rPr>
        <w:t>动态响应慢，输出电压和频率</w:t>
      </w:r>
      <w:r w:rsidR="003E7BF5">
        <w:rPr>
          <w:rFonts w:hint="eastAsia"/>
          <w:lang w:eastAsia="zh-CN"/>
        </w:rPr>
        <w:t>存在</w:t>
      </w:r>
      <w:r>
        <w:rPr>
          <w:rFonts w:hint="eastAsia"/>
          <w:lang w:eastAsia="zh-CN"/>
        </w:rPr>
        <w:t>稳态偏差。</w:t>
      </w:r>
    </w:p>
    <w:p w:rsidR="00E257C2" w:rsidRDefault="006D6E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集中控制方式：</w:t>
      </w:r>
      <w:r w:rsidR="00A94A66">
        <w:rPr>
          <w:rFonts w:hint="eastAsia"/>
          <w:lang w:eastAsia="zh-CN"/>
        </w:rPr>
        <w:t>采用专门的、公共的同步</w:t>
      </w:r>
      <w:proofErr w:type="gramStart"/>
      <w:r w:rsidR="00A94A66">
        <w:rPr>
          <w:rFonts w:hint="eastAsia"/>
          <w:lang w:eastAsia="zh-CN"/>
        </w:rPr>
        <w:t>和均流模块</w:t>
      </w:r>
      <w:proofErr w:type="gramEnd"/>
      <w:r w:rsidR="00A94A66">
        <w:rPr>
          <w:rFonts w:hint="eastAsia"/>
          <w:lang w:eastAsia="zh-CN"/>
        </w:rPr>
        <w:t>，统一调控各个逆变器</w:t>
      </w:r>
      <w:r w:rsidR="003E7BF5">
        <w:rPr>
          <w:rFonts w:hint="eastAsia"/>
          <w:lang w:eastAsia="zh-CN"/>
        </w:rPr>
        <w:t>。即</w:t>
      </w:r>
      <w:r w:rsidR="00A94A66">
        <w:rPr>
          <w:rFonts w:hint="eastAsia"/>
          <w:lang w:eastAsia="zh-CN"/>
        </w:rPr>
        <w:t>集中控制单元控制脉冲产生统一的脉冲信号，然后各个逆变器模块经过所锁相环跟随同步信号，从而保证各个输出模块的输出电流相位幅值一致，消除环流，实现各逆变器的</w:t>
      </w:r>
      <w:proofErr w:type="gramStart"/>
      <w:r w:rsidR="00A94A66">
        <w:rPr>
          <w:rFonts w:hint="eastAsia"/>
          <w:lang w:eastAsia="zh-CN"/>
        </w:rPr>
        <w:t>电流均流功能</w:t>
      </w:r>
      <w:proofErr w:type="gramEnd"/>
      <w:r w:rsidR="00A94A66">
        <w:rPr>
          <w:rFonts w:hint="eastAsia"/>
          <w:lang w:eastAsia="zh-CN"/>
        </w:rPr>
        <w:t>。优点是控制方法简单，</w:t>
      </w:r>
      <w:proofErr w:type="gramStart"/>
      <w:r w:rsidR="00A94A66">
        <w:rPr>
          <w:rFonts w:hint="eastAsia"/>
          <w:lang w:eastAsia="zh-CN"/>
        </w:rPr>
        <w:t>均流效果</w:t>
      </w:r>
      <w:proofErr w:type="gramEnd"/>
      <w:r w:rsidR="00A94A66">
        <w:rPr>
          <w:rFonts w:hint="eastAsia"/>
          <w:lang w:eastAsia="zh-CN"/>
        </w:rPr>
        <w:t>好。缺点是无法实现冗余控制，一旦公共控制电路失效，会导致整个并联系统瘫痪。</w:t>
      </w:r>
    </w:p>
    <w:p w:rsidR="00E257C2" w:rsidRDefault="00E257C2">
      <w:pPr>
        <w:rPr>
          <w:rFonts w:hint="eastAsia"/>
          <w:lang w:eastAsia="zh-CN"/>
        </w:rPr>
      </w:pPr>
    </w:p>
    <w:p w:rsidR="00E257C2" w:rsidRDefault="00E257C2">
      <w:pPr>
        <w:rPr>
          <w:rFonts w:hint="eastAsia"/>
          <w:lang w:eastAsia="zh-CN"/>
        </w:rPr>
      </w:pPr>
    </w:p>
    <w:p w:rsidR="00E87662" w:rsidRDefault="00E87662">
      <w:pPr>
        <w:rPr>
          <w:rFonts w:ascii="Arial" w:hAnsi="Arial" w:cs="Arial" w:hint="eastAsia"/>
          <w:color w:val="333333"/>
          <w:sz w:val="19"/>
          <w:szCs w:val="19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  <w:lang w:eastAsia="zh-CN"/>
        </w:rPr>
        <w:t>PID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  <w:lang w:eastAsia="zh-CN"/>
        </w:rPr>
        <w:t>串级控制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  <w:lang w:eastAsia="zh-CN"/>
        </w:rPr>
        <w:t>：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  <w:lang w:eastAsia="zh-CN"/>
        </w:rPr>
        <w:t>就是采用两个控制器串联工作，外环控制器的输出作为内环控制器的设定值，由内环控制器的输出去操纵控制阀，从而对外环被控量具有更好的控制效果。这样的控制系统被称为串级系统。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  <w:lang w:eastAsia="zh-CN"/>
        </w:rPr>
        <w:t>PID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  <w:lang w:eastAsia="zh-CN"/>
        </w:rPr>
        <w:t>串级控制就是串级控制中的两个控制器均为</w:t>
      </w:r>
      <w:hyperlink r:id="rId4" w:tgtFrame="_blank" w:history="1">
        <w:r>
          <w:rPr>
            <w:rStyle w:val="af1"/>
            <w:rFonts w:ascii="Arial" w:hAnsi="Arial" w:cs="Arial"/>
            <w:color w:val="136EC2"/>
            <w:sz w:val="19"/>
            <w:szCs w:val="19"/>
            <w:shd w:val="clear" w:color="auto" w:fill="FFFFFF"/>
            <w:lang w:eastAsia="zh-CN"/>
          </w:rPr>
          <w:t>PID</w:t>
        </w:r>
        <w:r>
          <w:rPr>
            <w:rStyle w:val="af1"/>
            <w:rFonts w:ascii="Arial" w:hAnsi="Arial" w:cs="Arial"/>
            <w:color w:val="136EC2"/>
            <w:sz w:val="19"/>
            <w:szCs w:val="19"/>
            <w:shd w:val="clear" w:color="auto" w:fill="FFFFFF"/>
            <w:lang w:eastAsia="zh-CN"/>
          </w:rPr>
          <w:t>控制器</w:t>
        </w:r>
      </w:hyperlink>
      <w:r>
        <w:rPr>
          <w:rFonts w:ascii="Arial" w:hAnsi="Arial" w:cs="Arial"/>
          <w:color w:val="333333"/>
          <w:sz w:val="19"/>
          <w:szCs w:val="19"/>
          <w:shd w:val="clear" w:color="auto" w:fill="FFFFFF"/>
          <w:lang w:eastAsia="zh-CN"/>
        </w:rPr>
        <w:t>。</w:t>
      </w:r>
    </w:p>
    <w:p w:rsidR="00A94A66" w:rsidRDefault="00A94A66" w:rsidP="00A94A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PID</w:t>
      </w:r>
      <w:r>
        <w:rPr>
          <w:rFonts w:hint="eastAsia"/>
          <w:lang w:eastAsia="zh-CN"/>
        </w:rPr>
        <w:t>串级控制，主逆变器采用电压</w:t>
      </w:r>
      <w:proofErr w:type="gramStart"/>
      <w:r>
        <w:rPr>
          <w:rFonts w:hint="eastAsia"/>
          <w:lang w:eastAsia="zh-CN"/>
        </w:rPr>
        <w:t>电流双</w:t>
      </w:r>
      <w:proofErr w:type="gramEnd"/>
      <w:r>
        <w:rPr>
          <w:rFonts w:hint="eastAsia"/>
          <w:lang w:eastAsia="zh-CN"/>
        </w:rPr>
        <w:t>闭环控制，从逆变器采用单电流闭环控制，从逆变器的电流指令都有主逆变器的</w:t>
      </w:r>
      <w:proofErr w:type="gramStart"/>
      <w:r>
        <w:rPr>
          <w:rFonts w:hint="eastAsia"/>
          <w:lang w:eastAsia="zh-CN"/>
        </w:rPr>
        <w:t>电压环</w:t>
      </w:r>
      <w:proofErr w:type="gramEnd"/>
      <w:r>
        <w:rPr>
          <w:rFonts w:hint="eastAsia"/>
          <w:lang w:eastAsia="zh-CN"/>
        </w:rPr>
        <w:t>输出给定。</w:t>
      </w:r>
    </w:p>
    <w:p w:rsidR="005D617B" w:rsidRDefault="005D617B">
      <w:pPr>
        <w:rPr>
          <w:lang w:eastAsia="zh-CN"/>
        </w:rPr>
      </w:pPr>
      <w:r>
        <w:rPr>
          <w:lang w:eastAsia="zh-CN"/>
        </w:rPr>
        <w:br w:type="page"/>
      </w:r>
    </w:p>
    <w:p w:rsidR="00A94A66" w:rsidRDefault="00A94A66">
      <w:pPr>
        <w:rPr>
          <w:rFonts w:hint="eastAsia"/>
          <w:lang w:eastAsia="zh-CN"/>
        </w:rPr>
      </w:pPr>
    </w:p>
    <w:p w:rsidR="00657ABA" w:rsidRDefault="00657ABA">
      <w:pPr>
        <w:rPr>
          <w:rFonts w:hint="eastAsia"/>
          <w:lang w:eastAsia="zh-CN"/>
        </w:rPr>
      </w:pPr>
    </w:p>
    <w:p w:rsidR="00657ABA" w:rsidRDefault="005D617B">
      <w:pPr>
        <w:rPr>
          <w:rFonts w:hint="eastAsia"/>
          <w:lang w:eastAsia="zh-CN"/>
        </w:rPr>
      </w:pPr>
      <w:r w:rsidRPr="00AC12D0">
        <w:rPr>
          <w:rFonts w:hint="eastAsia"/>
          <w:highlight w:val="yellow"/>
          <w:lang w:eastAsia="zh-CN"/>
        </w:rPr>
        <w:t>逆变器同时运行模式控制策略</w:t>
      </w:r>
    </w:p>
    <w:p w:rsidR="005D617B" w:rsidRDefault="005D617B" w:rsidP="005D617B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模块采用三相</w:t>
      </w:r>
      <w:r w:rsidR="009708AD">
        <w:rPr>
          <w:rFonts w:hint="eastAsia"/>
          <w:lang w:eastAsia="zh-CN"/>
        </w:rPr>
        <w:t>桥式</w:t>
      </w:r>
      <w:r>
        <w:rPr>
          <w:rFonts w:hint="eastAsia"/>
          <w:lang w:eastAsia="zh-CN"/>
        </w:rPr>
        <w:t>逆变器结构。单个模块采用双极性</w:t>
      </w:r>
      <w:r>
        <w:rPr>
          <w:rFonts w:hint="eastAsia"/>
          <w:lang w:eastAsia="zh-CN"/>
        </w:rPr>
        <w:t>SPWM</w:t>
      </w:r>
      <w:r>
        <w:rPr>
          <w:rFonts w:hint="eastAsia"/>
          <w:lang w:eastAsia="zh-CN"/>
        </w:rPr>
        <w:t>控制开关管开断。模块</w:t>
      </w:r>
      <w:proofErr w:type="gramStart"/>
      <w:r>
        <w:rPr>
          <w:rFonts w:hint="eastAsia"/>
          <w:lang w:eastAsia="zh-CN"/>
        </w:rPr>
        <w:t>并网均流时</w:t>
      </w:r>
      <w:proofErr w:type="gramEnd"/>
      <w:r>
        <w:rPr>
          <w:rFonts w:hint="eastAsia"/>
          <w:lang w:eastAsia="zh-CN"/>
        </w:rPr>
        <w:t>，</w:t>
      </w:r>
      <w:r>
        <w:rPr>
          <w:lang w:eastAsia="zh-CN"/>
        </w:rPr>
        <w:t>控制方式选用主从控制方式和</w:t>
      </w:r>
      <w:r>
        <w:rPr>
          <w:lang w:eastAsia="zh-CN"/>
        </w:rPr>
        <w:t>PID</w:t>
      </w:r>
      <w:r>
        <w:rPr>
          <w:lang w:eastAsia="zh-CN"/>
        </w:rPr>
        <w:t>串级控制</w:t>
      </w:r>
      <w:r>
        <w:rPr>
          <w:rFonts w:hint="eastAsia"/>
          <w:lang w:eastAsia="zh-CN"/>
        </w:rPr>
        <w:t>。主逆变器采用电压</w:t>
      </w:r>
      <w:proofErr w:type="gramStart"/>
      <w:r>
        <w:rPr>
          <w:rFonts w:hint="eastAsia"/>
          <w:lang w:eastAsia="zh-CN"/>
        </w:rPr>
        <w:t>电流双</w:t>
      </w:r>
      <w:proofErr w:type="gramEnd"/>
      <w:r>
        <w:rPr>
          <w:rFonts w:hint="eastAsia"/>
          <w:lang w:eastAsia="zh-CN"/>
        </w:rPr>
        <w:t>闭环控制，从逆变器采用单电流闭环控制，从逆变器的电流指令均由主逆变器的</w:t>
      </w:r>
      <w:proofErr w:type="gramStart"/>
      <w:r>
        <w:rPr>
          <w:rFonts w:hint="eastAsia"/>
          <w:lang w:eastAsia="zh-CN"/>
        </w:rPr>
        <w:t>电压环</w:t>
      </w:r>
      <w:proofErr w:type="gramEnd"/>
      <w:r>
        <w:rPr>
          <w:rFonts w:hint="eastAsia"/>
          <w:lang w:eastAsia="zh-CN"/>
        </w:rPr>
        <w:t>输出给定。</w:t>
      </w:r>
    </w:p>
    <w:p w:rsidR="009708AD" w:rsidRDefault="005D617B" w:rsidP="009708AD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当两个逆变器并联运行时，逆变器的直流侧和交流侧直接并联</w:t>
      </w:r>
      <w:r w:rsidR="009708AD">
        <w:rPr>
          <w:rFonts w:hint="eastAsia"/>
          <w:lang w:eastAsia="zh-CN"/>
        </w:rPr>
        <w:t>，形成环流通路。</w:t>
      </w:r>
    </w:p>
    <w:p w:rsidR="009708AD" w:rsidRDefault="009708AD" w:rsidP="009708AD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环流的存在会使得系统损耗大大增加，严重影响并联系统的正常运行。而</w:t>
      </w:r>
    </w:p>
    <w:p w:rsidR="009708AD" w:rsidRDefault="009708AD" w:rsidP="009708AD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环流主要是由各逆变单元输出电压的不一致引起的，因此各逆变单元输出电压</w:t>
      </w:r>
    </w:p>
    <w:p w:rsidR="009708AD" w:rsidRDefault="009708AD" w:rsidP="009708AD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的幅值、频率及相位的严格一致成为逆变器并联系统稳定供能的最大前提。</w:t>
      </w:r>
    </w:p>
    <w:p w:rsidR="005D617B" w:rsidRDefault="00FB3617" w:rsidP="009708AD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两个</w:t>
      </w:r>
      <w:r w:rsidR="009708AD">
        <w:rPr>
          <w:rFonts w:hint="eastAsia"/>
          <w:lang w:eastAsia="zh-CN"/>
        </w:rPr>
        <w:t>三相逆变器的</w:t>
      </w:r>
      <w:r w:rsidR="005D617B">
        <w:rPr>
          <w:rFonts w:hint="eastAsia"/>
          <w:lang w:eastAsia="zh-CN"/>
        </w:rPr>
        <w:t>并联</w:t>
      </w:r>
      <w:r>
        <w:rPr>
          <w:rFonts w:hint="eastAsia"/>
          <w:lang w:eastAsia="zh-CN"/>
        </w:rPr>
        <w:t>等效</w:t>
      </w:r>
      <w:r w:rsidR="005D617B">
        <w:rPr>
          <w:rFonts w:hint="eastAsia"/>
          <w:lang w:eastAsia="zh-CN"/>
        </w:rPr>
        <w:t>原理图如图所示：</w:t>
      </w:r>
    </w:p>
    <w:p w:rsidR="005D617B" w:rsidRDefault="005D617B" w:rsidP="003C6541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988067" cy="152385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826" cy="152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F1A" w:rsidRDefault="005D61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U1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U2</w:t>
      </w:r>
      <w:r>
        <w:rPr>
          <w:rFonts w:hint="eastAsia"/>
          <w:lang w:eastAsia="zh-CN"/>
        </w:rPr>
        <w:t>分别为两台逆变器输出电压的有效值，</w:t>
      </w:r>
      <m:oMath>
        <m:sSub>
          <m:sSubPr>
            <m:ctrlPr>
              <w:rPr>
                <w:rFonts w:ascii="Cambria Math" w:eastAsia="MS Mincho" w:hAnsi="Cambria Math" w:cs="MS Mincho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MS Mincho"/>
                <w:lang w:eastAsia="zh-C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="MS Mincho"/>
                <w:lang w:eastAsia="zh-CN"/>
              </w:rPr>
              <m:t>1</m:t>
            </m:r>
          </m:sub>
        </m:sSub>
      </m:oMath>
      <w:r w:rsidR="003C6541"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3C6541">
        <w:rPr>
          <w:lang w:eastAsia="zh-CN"/>
        </w:rPr>
        <w:t>为两台逆变器与负载端电压的相位差</w:t>
      </w:r>
      <w:r w:rsidR="003C6541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简单认为</w:t>
      </w:r>
      <w:r w:rsidR="00667F1A">
        <w:rPr>
          <w:rFonts w:hint="eastAsia"/>
          <w:lang w:eastAsia="zh-CN"/>
        </w:rPr>
        <w:t>两个逆变器等效输出电抗和连线电抗之和相等，即</w:t>
      </w:r>
      <w:r w:rsidR="00667F1A" w:rsidRPr="009708AD">
        <w:rPr>
          <w:rFonts w:hint="eastAsia"/>
          <w:i/>
          <w:lang w:eastAsia="zh-CN"/>
        </w:rPr>
        <w:t>X1=X2=X</w:t>
      </w:r>
      <w:r w:rsidR="00667F1A">
        <w:rPr>
          <w:rFonts w:hint="eastAsia"/>
          <w:lang w:eastAsia="zh-CN"/>
        </w:rPr>
        <w:t>，逆变器等效输出电阻相等，即</w:t>
      </w:r>
      <w:r w:rsidR="00667F1A" w:rsidRPr="009708AD">
        <w:rPr>
          <w:rFonts w:hint="eastAsia"/>
          <w:i/>
          <w:lang w:eastAsia="zh-CN"/>
        </w:rPr>
        <w:t>r1=r2=r</w:t>
      </w:r>
      <w:r w:rsidR="00667F1A">
        <w:rPr>
          <w:rFonts w:hint="eastAsia"/>
          <w:lang w:eastAsia="zh-CN"/>
        </w:rPr>
        <w:t>。系统环流为</w:t>
      </w:r>
      <w:proofErr w:type="spellStart"/>
      <w:r w:rsidR="00667F1A" w:rsidRPr="009708AD">
        <w:rPr>
          <w:rFonts w:hint="eastAsia"/>
          <w:i/>
          <w:lang w:eastAsia="zh-CN"/>
        </w:rPr>
        <w:t>i</w:t>
      </w:r>
      <w:r w:rsidR="00667F1A" w:rsidRPr="009708AD">
        <w:rPr>
          <w:rFonts w:hint="eastAsia"/>
          <w:i/>
          <w:vertAlign w:val="subscript"/>
          <w:lang w:eastAsia="zh-CN"/>
        </w:rPr>
        <w:t>H</w:t>
      </w:r>
      <w:proofErr w:type="spellEnd"/>
      <w:r w:rsidR="00667F1A">
        <w:rPr>
          <w:rFonts w:hint="eastAsia"/>
          <w:lang w:eastAsia="zh-CN"/>
        </w:rPr>
        <w:t>。则环流的公式为：</w:t>
      </w:r>
    </w:p>
    <w:p w:rsidR="00667F1A" w:rsidRPr="009708AD" w:rsidRDefault="00667F1A" w:rsidP="00F733A1">
      <w:pPr>
        <w:jc w:val="center"/>
        <w:rPr>
          <w:rFonts w:hint="eastAsia"/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i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H</m:t>
              </m:r>
            </m:sub>
          </m:sSub>
          <m:r>
            <w:rPr>
              <w:rFonts w:ascii="Cambria Math" w:hAnsi="Cambria Math" w:hint="eastAsia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 w:cs="MS Mincho" w:hint="eastAsia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  <m:r>
                <w:rPr>
                  <w:rFonts w:ascii="Cambria Math" w:hAnsi="Cambria Math" w:hint="eastAsia"/>
                  <w:lang w:eastAsia="zh-CN"/>
                </w:rPr>
                <m:t>（</m:t>
              </m:r>
              <m:r>
                <w:rPr>
                  <w:rFonts w:ascii="Cambria Math" w:hAnsi="Cambria Math" w:hint="eastAsia"/>
                  <w:lang w:eastAsia="zh-CN"/>
                </w:rPr>
                <m:t>r+jX</m:t>
              </m:r>
              <m:r>
                <w:rPr>
                  <w:rFonts w:ascii="Cambria Math" w:hAnsi="Cambria Math" w:hint="eastAsia"/>
                  <w:lang w:eastAsia="zh-CN"/>
                </w:rPr>
                <m:t>）</m:t>
              </m:r>
            </m:den>
          </m:f>
        </m:oMath>
      </m:oMathPara>
    </w:p>
    <w:p w:rsidR="00FB3617" w:rsidRDefault="00F733A1" w:rsidP="00FB3617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从上可知，</w:t>
      </w:r>
      <w:r w:rsidR="00FB3617">
        <w:rPr>
          <w:rFonts w:hint="eastAsia"/>
          <w:lang w:eastAsia="zh-CN"/>
        </w:rPr>
        <w:t>并联系统各单元模块输出电压特性的不一致是造成环流的</w:t>
      </w:r>
      <w:proofErr w:type="gramStart"/>
      <w:r w:rsidR="00FB3617">
        <w:rPr>
          <w:rFonts w:hint="eastAsia"/>
          <w:lang w:eastAsia="zh-CN"/>
        </w:rPr>
        <w:t>最</w:t>
      </w:r>
      <w:proofErr w:type="gramEnd"/>
      <w:r w:rsidR="00FB3617">
        <w:rPr>
          <w:rFonts w:hint="eastAsia"/>
          <w:lang w:eastAsia="zh-CN"/>
        </w:rPr>
        <w:t>本质原因，主要表现为：各逆变单元输出电压幅值与相位的不一致；各单元外特性的不一致，即等效输出阻抗的不一致；并联系统线路阻抗的不一致。</w:t>
      </w:r>
    </w:p>
    <w:p w:rsidR="00FB3617" w:rsidRPr="00FB3617" w:rsidRDefault="00FB3617" w:rsidP="00FB3617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通过调节两个逆变器的输出电压幅值，使输出电压幅值差减小到可控制的范围内；调整输出电压的相位，使输出电压相位差近似为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，减小环流，从而达到两个逆变器同时运行的目的。</w:t>
      </w:r>
    </w:p>
    <w:p w:rsidR="00F733A1" w:rsidRPr="00FB3617" w:rsidRDefault="00F733A1" w:rsidP="003C6541">
      <w:pPr>
        <w:ind w:firstLineChars="200" w:firstLine="440"/>
        <w:rPr>
          <w:rFonts w:hint="eastAsia"/>
          <w:lang w:eastAsia="zh-CN"/>
        </w:rPr>
      </w:pPr>
    </w:p>
    <w:sectPr w:rsidR="00F733A1" w:rsidRPr="00FB3617" w:rsidSect="003F6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7662"/>
    <w:rsid w:val="000E4934"/>
    <w:rsid w:val="00320601"/>
    <w:rsid w:val="003C6541"/>
    <w:rsid w:val="003E7BF5"/>
    <w:rsid w:val="003F60F1"/>
    <w:rsid w:val="005D5495"/>
    <w:rsid w:val="005D617B"/>
    <w:rsid w:val="00657ABA"/>
    <w:rsid w:val="00667F1A"/>
    <w:rsid w:val="006D6EC4"/>
    <w:rsid w:val="00954EE2"/>
    <w:rsid w:val="009708AD"/>
    <w:rsid w:val="00A332A5"/>
    <w:rsid w:val="00A94A66"/>
    <w:rsid w:val="00B24F54"/>
    <w:rsid w:val="00E257C2"/>
    <w:rsid w:val="00E87662"/>
    <w:rsid w:val="00E94EA4"/>
    <w:rsid w:val="00EB5FB9"/>
    <w:rsid w:val="00F733A1"/>
    <w:rsid w:val="00FB3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2A5"/>
  </w:style>
  <w:style w:type="paragraph" w:styleId="1">
    <w:name w:val="heading 1"/>
    <w:basedOn w:val="a"/>
    <w:next w:val="a"/>
    <w:link w:val="1Char"/>
    <w:uiPriority w:val="9"/>
    <w:qFormat/>
    <w:rsid w:val="00A332A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32A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32A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32A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32A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32A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32A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32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32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2A5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332A5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332A5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332A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332A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332A5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332A5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332A5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332A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332A5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332A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A332A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A332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A332A5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A332A5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A332A5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A332A5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A332A5"/>
  </w:style>
  <w:style w:type="paragraph" w:styleId="a9">
    <w:name w:val="List Paragraph"/>
    <w:basedOn w:val="a"/>
    <w:uiPriority w:val="34"/>
    <w:qFormat/>
    <w:rsid w:val="00A332A5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332A5"/>
    <w:rPr>
      <w:i/>
      <w:iCs/>
    </w:rPr>
  </w:style>
  <w:style w:type="character" w:customStyle="1" w:styleId="Char2">
    <w:name w:val="引用 Char"/>
    <w:basedOn w:val="a0"/>
    <w:link w:val="aa"/>
    <w:uiPriority w:val="29"/>
    <w:rsid w:val="00A332A5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A332A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A332A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A332A5"/>
    <w:rPr>
      <w:i/>
      <w:iCs/>
    </w:rPr>
  </w:style>
  <w:style w:type="character" w:styleId="ad">
    <w:name w:val="Intense Emphasis"/>
    <w:uiPriority w:val="21"/>
    <w:qFormat/>
    <w:rsid w:val="00A332A5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A332A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A332A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A332A5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A332A5"/>
    <w:pPr>
      <w:outlineLvl w:val="9"/>
    </w:pPr>
  </w:style>
  <w:style w:type="character" w:styleId="af1">
    <w:name w:val="Hyperlink"/>
    <w:basedOn w:val="a0"/>
    <w:uiPriority w:val="99"/>
    <w:semiHidden/>
    <w:unhideWhenUsed/>
    <w:rsid w:val="00E87662"/>
    <w:rPr>
      <w:color w:val="0000FF"/>
      <w:u w:val="single"/>
    </w:rPr>
  </w:style>
  <w:style w:type="paragraph" w:styleId="af2">
    <w:name w:val="Balloon Text"/>
    <w:basedOn w:val="a"/>
    <w:link w:val="Char4"/>
    <w:uiPriority w:val="99"/>
    <w:semiHidden/>
    <w:unhideWhenUsed/>
    <w:rsid w:val="005D617B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5D617B"/>
    <w:rPr>
      <w:sz w:val="18"/>
      <w:szCs w:val="18"/>
    </w:rPr>
  </w:style>
  <w:style w:type="character" w:styleId="af3">
    <w:name w:val="Placeholder Text"/>
    <w:basedOn w:val="a0"/>
    <w:uiPriority w:val="99"/>
    <w:semiHidden/>
    <w:rsid w:val="00667F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aike.baidu.com/item/PID%E6%8E%A7%E5%88%B6%E5%99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202</Words>
  <Characters>1155</Characters>
  <Application>Microsoft Office Word</Application>
  <DocSecurity>0</DocSecurity>
  <Lines>9</Lines>
  <Paragraphs>2</Paragraphs>
  <ScaleCrop>false</ScaleCrop>
  <Company>Microsoft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</cp:revision>
  <dcterms:created xsi:type="dcterms:W3CDTF">2017-08-14T16:48:00Z</dcterms:created>
  <dcterms:modified xsi:type="dcterms:W3CDTF">2017-08-15T06:46:00Z</dcterms:modified>
</cp:coreProperties>
</file>