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Iris 数据处理与图表复核附录</w:t>
      </w:r>
    </w:p>
    <w:p>
      <w:pPr>
        <w:pStyle w:val="Subtitle"/>
      </w:pPr>
      <w:r>
        <w:t>中英混排的可编辑方法文档</w:t>
      </w:r>
    </w:p>
    <w:p>
      <w:pPr>
        <w:pStyle w:val="ReportMetadata"/>
      </w:pPr>
      <w:r>
        <w:t>输入 150 条记录    |    单位 cm    |    数据来源 UCI Iris</w:t>
      </w:r>
    </w:p>
    <w:p>
      <w:pPr>
        <w:pStyle w:val="Heading1"/>
      </w:pPr>
      <w:r>
        <w:t>资料范围</w:t>
      </w:r>
    </w:p>
    <w:p>
      <w:pPr/>
      <w:r>
        <w:t>本附录检验英文属名、中文说明、数值、表格和插图在同一份 Word 文档中的排版。数据与英文报告使用同一个 iris.data 快照；不添加额外观测或统计推断。The analysis keeps the original four measurement columns and species labels.</w:t>
      </w:r>
    </w:p>
    <w:p>
      <w:pPr>
        <w:pStyle w:val="Heading1"/>
      </w:pPr>
      <w:r>
        <w:t>变量与处理规则</w:t>
      </w:r>
    </w:p>
    <w:p>
      <w:pPr/>
      <w:r>
        <w:t>将每条记录的 sepal length、sepal width、petal length、petal width 解析为浮点数，将 species 作为原始分组标签。空白末行不视为一条样本；任何数据行缺列都应终止分析。组内标准差使用样本分母 n−1。没有对测量值作标准化、填补或异常值删除。</w:t>
      </w:r>
    </w:p>
    <w:p>
      <w:pPr>
        <w:pStyle w:val="ReportCaption"/>
        <w:keepNext/>
      </w:pPr>
      <w:r>
        <w:t>表 1 四项测量在各类别中的描述性统计。n 为记录数；SD 使用样本标准差。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DDECEF"/>
          </w:tcPr>
          <w:p>
            <w:pPr>
              <w:spacing w:after="0" w:line="260" w:lineRule="exact"/>
            </w:pPr>
            <w:r>
              <w:rPr>
                <w:b/>
                <w:sz w:val="18"/>
              </w:rPr>
              <w:t>Species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DDECEF"/>
          </w:tcPr>
          <w:p>
            <w:pPr>
              <w:spacing w:after="0" w:line="260" w:lineRule="exact"/>
            </w:pPr>
            <w:r>
              <w:rPr>
                <w:b/>
                <w:sz w:val="18"/>
              </w:rPr>
              <w:t>Variable / 变量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DDECEF"/>
          </w:tcPr>
          <w:p>
            <w:pPr>
              <w:spacing w:after="0" w:line="260" w:lineRule="exact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DDECEF"/>
          </w:tcPr>
          <w:p>
            <w:pPr>
              <w:spacing w:after="0" w:line="260" w:lineRule="exact"/>
            </w:pPr>
            <w:r>
              <w:rPr>
                <w:b/>
                <w:sz w:val="18"/>
              </w:rPr>
              <w:t>Mean ± SD (cm)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setosa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sepal length / 萼片长度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50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5.01 ± 0.35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setosa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sepal width / 萼片宽度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50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3.42 ± 0.38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setosa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petal length / 花瓣长度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50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1.46 ± 0.17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setosa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petal width / 花瓣宽度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50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0.24 ± 0.11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versicolor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sepal length / 萼片长度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50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5.94 ± 0.52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versicolor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sepal width / 萼片宽度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50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2.77 ± 0.31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versicolor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petal length / 花瓣长度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50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4.26 ± 0.47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versicolor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petal width / 花瓣宽度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50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1.33 ± 0.20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virginica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sepal length / 萼片长度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50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6.59 ± 0.64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virginica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sepal width / 萼片宽度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50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2.97 ± 0.32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virginica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petal length / 花瓣长度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50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sz w:val="18"/>
              </w:rPr>
              <w:t>5.55 ± 0.55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virginica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petal width / 花瓣宽度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50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shd w:fill="F2F7F8"/>
          </w:tcPr>
          <w:p>
            <w:pPr>
              <w:spacing w:after="0" w:line="260" w:lineRule="exact"/>
            </w:pPr>
            <w:r>
              <w:rPr>
                <w:sz w:val="18"/>
              </w:rPr>
              <w:t>2.03 ± 0.27</w:t>
            </w:r>
          </w:p>
        </w:tc>
      </w:tr>
    </w:tbl>
    <w:p>
      <w:pPr>
        <w:spacing w:after="40"/>
      </w:pPr>
    </w:p>
    <w:p>
      <w:pPr>
        <w:pStyle w:val="Heading1"/>
      </w:pPr>
      <w:r>
        <w:t>图表与一致性检查</w:t>
      </w:r>
    </w:p>
    <w:p>
      <w:pPr/>
      <w:r>
        <w:t>下图与英文正文共用同一张输入图，因此图中每个点的横纵坐标都来自表格所汇总的原始行。图仅描绘 petal length 和 petal width；不能从其视觉间距直接得出统计显著性。在中英混排环境下检查数字、括号、百分号与 DOI 换行，尤其注意中文标点周围不能出现异常大空格。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3230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is-petal-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3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图 1 三类鸢尾花瓣长度与宽度散点图。数据为全部 150 条记录；坐标单位均为 cm。</w:t>
      </w:r>
    </w:p>
    <w:p>
      <w:pPr>
        <w:pStyle w:val="Heading1"/>
      </w:pPr>
      <w:r>
        <w:t>复核记录与解释界限</w:t>
      </w:r>
    </w:p>
    <w:p>
      <w:pPr/>
      <w:r>
        <w:t>表中每个 n 都应等于该类别的原始行数，而不能等于去重后的坐标数：多条记录可以拥有相同的花瓣长度和宽度，因此图上的可见点数可能少于 150。均值与标准差从每个类别的 50 条记录重新计算，图轴范围在生成前固定，避免自动缩放造成视觉比较失真。检查者可从 iris.data逐行重建变量表，并对照英文报告的表 1 与图 1。中英文版本共用同一输入文件和图像，文字翻译不应改变任何数值、单位或分母。</w:t>
      </w:r>
    </w:p>
    <w:p>
      <w:pPr/>
      <w:r>
        <w:t>这个附录只记录文档生成和描述性统计的复核规则，不是鸢尾花分类模型的独立验证。原始文件没有采样地点、时间、测量者和测量误差字段，因而无法从这些行推断野外总体差异、因果机制或临床式诊断性能。若后续工作拟比较总体均值，应先确定抽样框、目标参数和不确定性估计方法；若拟建立预测模型，则还应规定训练与测试数据的隔离。把这些未做的步骤写清楚，可以防止精致的图表掩盖证据边界。</w:t>
      </w:r>
    </w:p>
    <w:p>
      <w:pPr>
        <w:pStyle w:val="Heading1"/>
      </w:pPr>
      <w:r>
        <w:t>数据出处</w:t>
      </w:r>
    </w:p>
    <w:p>
      <w:pPr>
        <w:pStyle w:val="ReportReference"/>
      </w:pPr>
      <w:r>
        <w:t>Fisher, R. (1936). Iris [Dataset]. UCI Machine Learning Repository.</w:t>
      </w:r>
      <w:r>
        <w:t xml:space="preserve"> </w:t>
      </w:r>
      <w:hyperlink r:id="rId11">
        <w:r>
          <w:rPr>
            <w:color w:val="086976"/>
          </w:rPr>
          <w:t>https://doi.org/10.24432/C56C76</w:t>
        </w:r>
      </w:hyperlink>
    </w:p>
    <w:sectPr w:rsidR="00FC693F" w:rsidRPr="0006063C" w:rsidSect="00034616">
      <w:footerReference w:type="default" r:id="rId9"/>
      <w:pgSz w:w="11906" w:h="16838"/>
      <w:pgMar w:top="1247" w:right="1304" w:bottom="1191" w:left="130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Footer"/>
      <w:jc w:val="right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40"/>
    </w:pPr>
    <w:rPr>
      <w:rFonts w:ascii="Times New Roman" w:hAnsi="Times New Roman" w:cs="Times New Roman" w:eastAsia="Noto Serif SC"/>
      <w:b w:val="0"/>
      <w:color w:val="1623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="Times New Roman" w:hAnsi="Times New Roman" w:cs="Times New Roman" w:eastAsia="Noto Serif SC"/>
      <w:b/>
      <w:bCs/>
      <w:color w:val="1623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 w:cs="Times New Roman" w:eastAsia="Noto Serif SC"/>
      <w:b/>
      <w:bCs/>
      <w:color w:val="16232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Times New Roman" w:hAnsi="Times New Roman" w:cs="Times New Roman" w:eastAsia="Noto Serif SC"/>
      <w:b/>
      <w:bCs/>
      <w:color w:val="16232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540" w:lineRule="exact"/>
      <w:contextualSpacing/>
    </w:pPr>
    <w:rPr>
      <w:rFonts w:ascii="Times New Roman" w:hAnsi="Times New Roman" w:cs="Times New Roman" w:eastAsia="Noto Serif SC"/>
      <w:b/>
      <w:color w:val="16232E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Times New Roman" w:hAnsi="Times New Roman" w:cs="Times New Roman" w:eastAsia="Noto Serif SC"/>
      <w:b w:val="0"/>
      <w:i/>
      <w:iCs/>
      <w:color w:val="52636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Metadata">
    <w:name w:val="Report Metadata"/>
    <w:basedOn w:val="Normal"/>
    <w:pPr>
      <w:spacing w:after="220"/>
    </w:pPr>
    <w:rPr>
      <w:rFonts w:ascii="Times New Roman" w:hAnsi="Times New Roman" w:cs="Times New Roman" w:eastAsia="Noto Serif SC"/>
      <w:b w:val="0"/>
      <w:color w:val="52636F"/>
      <w:sz w:val="18"/>
    </w:rPr>
  </w:style>
  <w:style w:type="paragraph" w:customStyle="1" w:styleId="ReportCaption">
    <w:name w:val="Report Caption"/>
    <w:basedOn w:val="Normal"/>
    <w:pPr>
      <w:keepLines/>
      <w:spacing w:after="180"/>
    </w:pPr>
    <w:rPr>
      <w:rFonts w:ascii="Times New Roman" w:hAnsi="Times New Roman" w:cs="Times New Roman" w:eastAsia="Noto Serif SC"/>
      <w:b w:val="0"/>
      <w:color w:val="52636F"/>
      <w:sz w:val="18"/>
    </w:rPr>
  </w:style>
  <w:style w:type="paragraph" w:customStyle="1" w:styleId="ReportReference">
    <w:name w:val="Report Reference"/>
    <w:basedOn w:val="Normal"/>
    <w:pPr>
      <w:spacing w:after="100" w:line="280" w:lineRule="exact"/>
      <w:ind w:left="283" w:hanging="283"/>
    </w:pPr>
    <w:rPr>
      <w:rFonts w:ascii="Times New Roman" w:hAnsi="Times New Roman" w:cs="Times New Roman" w:eastAsia="Noto Serif SC"/>
      <w:b w:val="0"/>
      <w:color w:val="16232E"/>
      <w:sz w:val="19"/>
    </w:rPr>
  </w:style>
  <w:style w:type="paragraph" w:customStyle="1" w:styleId="ReportFooter">
    <w:name w:val="Report Footer"/>
    <w:basedOn w:val="Normal"/>
    <w:rPr>
      <w:rFonts w:ascii="Times New Roman" w:hAnsi="Times New Roman" w:cs="Times New Roman" w:eastAsia="Noto Serif SC"/>
      <w:b w:val="0"/>
      <w:color w:val="52636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doi.org/10.24432/C56C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Iris 数据处理与图表复核附录</dc:title>
  <dc:subject/>
  <dc:creator>Mobius Science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