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黄河中游新石器时代证据的跨学科边界</w:t>
      </w:r>
    </w:p>
    <w:p>
      <w:pPr>
        <w:pStyle w:val="Subtitle"/>
      </w:pPr>
      <w:r>
        <w:t>三项开放获取研究的定向叙述性综述</w:t>
      </w:r>
    </w:p>
    <w:p>
      <w:pPr>
        <w:pStyle w:val="ReportMetadata"/>
      </w:pPr>
      <w:r>
        <w:t>文献截止 2026 年 9 月 25 日    文献类型 原始研究三篇</w:t>
      </w:r>
    </w:p>
    <w:p>
      <w:pPr>
        <w:pStyle w:val="Heading1"/>
      </w:pPr>
      <w:r>
        <w:t>摘要</w:t>
      </w:r>
    </w:p>
    <w:p>
      <w:pPr/>
      <w:r>
        <w:t>【背景】黄河流域新石器时代材料常被连结为农业起源、人口迁徙和语言扩散的单一叙事，但这些问题使用的证据单位并不相同。【目的】比较三项可核查的原始研究各自能支持的结论。【方法】按遗址或语言样本、测量对象、年代与推断层级提取结果；本研究是定向叙述性综述，没有完整中文发掘报告检索，故不作系统综述或区域普遍性判断。【结果】唐户遗址的植硅体支持一处遗址的粟稻并见；甘肃和四川三处遗址的陶器微体化石及考古背景支持对西南迁徙路线的特定解释；语言系统发生分析支持的是语言分化模型，而非某遗址人口连续性的直接测量。【结论】把遗址观察、区域外推和跨学科模型明确分层，可保留这些研究的贡献，同时避免把模型一致性写成独立验证。</w:t>
      </w:r>
    </w:p>
    <w:p>
      <w:pPr>
        <w:pStyle w:val="Heading1"/>
      </w:pPr>
      <w:r>
        <w:t>1 研究问题</w:t>
      </w:r>
    </w:p>
    <w:p>
      <w:pPr/>
      <w:r>
        <w:t>本文问的是三个层级之间的边界：一处遗址观察到的作物组合，能否代表黄河中游所有同期聚落；沿线遗址的物质文化相似性，能否直接证明语言传播；语言谱系模型的年代估计，能否独立证明考古学所述的人群迁徙。三种资料可以相互启发，但不存在无需检验的等价关系。</w:t>
      </w:r>
    </w:p>
    <w:p>
      <w:pPr>
        <w:pStyle w:val="Heading1"/>
      </w:pPr>
      <w:r>
        <w:t>2 资料与方法</w:t>
      </w:r>
    </w:p>
    <w:p>
      <w:pPr/>
      <w:r>
        <w:t>选取 Zhang 等人 2012 年发表于 PLOS ONE 的唐户遗址植硅体论文、Liu 等人 2022 年发表于PNAS 的迁徙研究，以及 Zhang 等人 2019 年发表于 Nature 的汉藏语系统发生分析。逐篇核查题名、完整作者、DOI、研究单位、所用资料及原文结论。该取样用于比较证据类型，并非检索全部相关著作；因此不能估计领域共识的比例，也不能声称涵盖中文考古原始材料。</w:t>
      </w:r>
    </w:p>
    <w:p>
      <w:pPr>
        <w:pStyle w:val="Heading1"/>
      </w:pPr>
      <w:r>
        <w:t>3 证据对照</w:t>
      </w:r>
    </w:p>
    <w:p>
      <w:pPr>
        <w:pStyle w:val="ReportCaption"/>
        <w:keepNext/>
      </w:pPr>
      <w:r>
        <w:t>表 1 三项研究的资料单位与外推边界。结论强度按本文对原文的限定性阅读表述。</w:t>
      </w:r>
    </w:p>
    <w:tbl>
      <w:tblPr>
        <w:tblW w:type="auto" w:w="0"/>
        <w:tblLayout w:type="fixed"/>
        <w:tblLook w:firstColumn="1" w:firstRow="1" w:lastColumn="0" w:lastRow="0" w:noHBand="0" w:noVBand="1" w:val="04A0"/>
      </w:tblPr>
      <w:tblGrid>
        <w:gridCol w:w="2324"/>
        <w:gridCol w:w="2324"/>
        <w:gridCol w:w="2324"/>
        <w:gridCol w:w="2324"/>
      </w:tblGrid>
      <w:tr>
        <w:trPr>
          <w:cantSplit/>
          <w:tblHeader/>
        </w:trPr>
        <w:tc>
          <w:tcPr>
            <w:tcW w:type="dxa" w:w="153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DECEF"/>
          </w:tcPr>
          <w:p>
            <w:pPr>
              <w:spacing w:after="0" w:line="260" w:lineRule="exact"/>
            </w:pPr>
            <w:r>
              <w:rPr>
                <w:b/>
                <w:sz w:val="18"/>
              </w:rPr>
              <w:t>研究</w:t>
            </w:r>
          </w:p>
        </w:tc>
        <w:tc>
          <w:tcPr>
            <w:tcW w:type="dxa" w:w="243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DECEF"/>
          </w:tcPr>
          <w:p>
            <w:pPr>
              <w:spacing w:after="0" w:line="260" w:lineRule="exact"/>
            </w:pPr>
            <w:r>
              <w:rPr>
                <w:b/>
                <w:sz w:val="18"/>
              </w:rPr>
              <w:t>直接资料</w:t>
            </w:r>
          </w:p>
        </w:tc>
        <w:tc>
          <w:tcPr>
            <w:tcW w:type="dxa" w:w="272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DECEF"/>
          </w:tcPr>
          <w:p>
            <w:pPr>
              <w:spacing w:after="0" w:line="260" w:lineRule="exact"/>
            </w:pPr>
            <w:r>
              <w:rPr>
                <w:b/>
                <w:sz w:val="18"/>
              </w:rPr>
              <w:t>较稳妥的结论</w:t>
            </w:r>
          </w:p>
        </w:tc>
        <w:tc>
          <w:tcPr>
            <w:tcW w:type="dxa" w:w="255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DECEF"/>
          </w:tcPr>
          <w:p>
            <w:pPr>
              <w:spacing w:after="0" w:line="260" w:lineRule="exact"/>
            </w:pPr>
            <w:r>
              <w:rPr>
                <w:b/>
                <w:sz w:val="18"/>
              </w:rPr>
              <w:t>主要外推限制</w:t>
            </w:r>
          </w:p>
        </w:tc>
      </w:tr>
      <w:tr>
        <w:trPr>
          <w:cantSplit/>
        </w:trPr>
        <w:tc>
          <w:tcPr>
            <w:tcW w:type="dxa" w:w="153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0" w:line="260" w:lineRule="exact"/>
            </w:pPr>
            <w:r>
              <w:rPr>
                <w:sz w:val="18"/>
              </w:rPr>
              <w:t>唐户 2012</w:t>
            </w:r>
          </w:p>
        </w:tc>
        <w:tc>
          <w:tcPr>
            <w:tcW w:type="dxa" w:w="243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0" w:line="260" w:lineRule="exact"/>
            </w:pPr>
            <w:r>
              <w:rPr>
                <w:sz w:val="18"/>
              </w:rPr>
              <w:t>H92 等样品中的植硅体</w:t>
            </w:r>
          </w:p>
        </w:tc>
        <w:tc>
          <w:tcPr>
            <w:tcW w:type="dxa" w:w="272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0" w:line="260" w:lineRule="exact"/>
            </w:pPr>
            <w:r>
              <w:rPr>
                <w:sz w:val="18"/>
              </w:rPr>
              <w:t>一处遗址约 7800 cal. yr BP 的粟稻并见</w:t>
            </w:r>
          </w:p>
        </w:tc>
        <w:tc>
          <w:tcPr>
            <w:tcW w:type="dxa" w:w="255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0" w:line="260" w:lineRule="exact"/>
            </w:pPr>
            <w:r>
              <w:rPr>
                <w:sz w:val="18"/>
              </w:rPr>
              <w:t>不代表所有同期聚落</w:t>
            </w:r>
          </w:p>
        </w:tc>
      </w:tr>
      <w:tr>
        <w:trPr>
          <w:cantSplit/>
        </w:trPr>
        <w:tc>
          <w:tcPr>
            <w:tcW w:type="dxa" w:w="153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2F7F8"/>
          </w:tcPr>
          <w:p>
            <w:pPr>
              <w:spacing w:after="0" w:line="260" w:lineRule="exact"/>
            </w:pPr>
            <w:r>
              <w:rPr>
                <w:sz w:val="18"/>
              </w:rPr>
              <w:t>迁徙 2022</w:t>
            </w:r>
          </w:p>
        </w:tc>
        <w:tc>
          <w:tcPr>
            <w:tcW w:type="dxa" w:w="243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2F7F8"/>
          </w:tcPr>
          <w:p>
            <w:pPr>
              <w:spacing w:after="0" w:line="260" w:lineRule="exact"/>
            </w:pPr>
            <w:r>
              <w:rPr>
                <w:sz w:val="18"/>
              </w:rPr>
              <w:t>三处遗址陶器微体化石与区域背景</w:t>
            </w:r>
          </w:p>
        </w:tc>
        <w:tc>
          <w:tcPr>
            <w:tcW w:type="dxa" w:w="272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2F7F8"/>
          </w:tcPr>
          <w:p>
            <w:pPr>
              <w:spacing w:after="0" w:line="260" w:lineRule="exact"/>
            </w:pPr>
            <w:r>
              <w:rPr>
                <w:sz w:val="18"/>
              </w:rPr>
              <w:t>与西南方向迁徙解释相容</w:t>
            </w:r>
          </w:p>
        </w:tc>
        <w:tc>
          <w:tcPr>
            <w:tcW w:type="dxa" w:w="255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2F7F8"/>
          </w:tcPr>
          <w:p>
            <w:pPr>
              <w:spacing w:after="0" w:line="260" w:lineRule="exact"/>
            </w:pPr>
            <w:r>
              <w:rPr>
                <w:sz w:val="18"/>
              </w:rPr>
              <w:t>物质相似性并非语言的直接观测</w:t>
            </w:r>
          </w:p>
        </w:tc>
      </w:tr>
      <w:tr>
        <w:trPr>
          <w:cantSplit/>
        </w:trPr>
        <w:tc>
          <w:tcPr>
            <w:tcW w:type="dxa" w:w="153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0" w:line="260" w:lineRule="exact"/>
            </w:pPr>
            <w:r>
              <w:rPr>
                <w:sz w:val="18"/>
              </w:rPr>
              <w:t>语言 2019</w:t>
            </w:r>
          </w:p>
        </w:tc>
        <w:tc>
          <w:tcPr>
            <w:tcW w:type="dxa" w:w="243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0" w:line="260" w:lineRule="exact"/>
            </w:pPr>
            <w:r>
              <w:rPr>
                <w:sz w:val="18"/>
              </w:rPr>
              <w:t>109 种语言的比较资料与模型</w:t>
            </w:r>
          </w:p>
        </w:tc>
        <w:tc>
          <w:tcPr>
            <w:tcW w:type="dxa" w:w="272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0" w:line="260" w:lineRule="exact"/>
            </w:pPr>
            <w:r>
              <w:rPr>
                <w:sz w:val="18"/>
              </w:rPr>
              <w:t>模型支持黄河流域起源假说</w:t>
            </w:r>
          </w:p>
        </w:tc>
        <w:tc>
          <w:tcPr>
            <w:tcW w:type="dxa" w:w="255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0" w:line="260" w:lineRule="exact"/>
            </w:pPr>
            <w:r>
              <w:rPr>
                <w:sz w:val="18"/>
              </w:rPr>
              <w:t>模型年代不是遗址测年</w:t>
            </w:r>
          </w:p>
        </w:tc>
      </w:tr>
    </w:tbl>
    <w:p>
      <w:pPr>
        <w:spacing w:after="40"/>
      </w:pPr>
    </w:p>
    <w:p>
      <w:pPr/>
      <w:r>
        <w:t>唐户论文在 H92 样品中报告了稻与黍类植硅体共同出现，并把样品年代置于约 7800 cal. yr BP。作者同时说明了早期植物材料数量的局限。因而最直接的证据单位是唐户特定地层和样品；若要把这一结果提升为区域农业制度，需要更多同期遗址和可比采样。</w:t>
      </w:r>
    </w:p>
    <w:p>
      <w:pPr/>
      <w:r>
        <w:t>PNAS 研究把三处遗址陶器微体化石、区域考古背景与民族志类比放在一起，提出与向西南迁徙相容的解释。其不同证据流并非同一物理量。陶器残留物可回答使用和加工活动，遗址间相似性可提出接触或迁移假说，却不能单独把某一语言直接归给出土陶器。</w:t>
      </w:r>
    </w:p>
    <w:p>
      <w:pPr/>
      <w:r>
        <w:t>Nature 研究从语言比较资料估计汉藏语分化时间及起源模型。它与北方起源叙事存在可讨论的一致性，但其输入是语言特征和模型假设，而不是唐户或其他单一遗址的作物、骨骼或人群测量。若把不同学科的估计叠加成“已证实的连续链条”，会掩盖资料单位与不确定性的差异。</w:t>
      </w:r>
    </w:p>
    <w:p>
      <w:pPr>
        <w:pStyle w:val="Heading1"/>
      </w:pPr>
      <w:r>
        <w:t>4 讨论与限度</w:t>
      </w:r>
    </w:p>
    <w:p>
      <w:pPr/>
      <w:r>
        <w:t>三篇论文共同显示黄河流域相关问题需要多类资料，但不能因此合并其推断层级。更强的研究设计应预先规定待比较的遗址、时间窗和资料类型，统一测年与采样质量标准，并纳入中文发掘报告和考古简报。对迁徙与语言的联系，尤其需要区别文化传播、人口流动以及语言替换等竞争解释。本样本选择了开放获取论文，存在明显的语言和来源偏倚；其目的仅是检验方法与写作边界。</w:t>
      </w:r>
    </w:p>
    <w:p>
      <w:pPr>
        <w:pStyle w:val="Heading1"/>
      </w:pPr>
      <w:r>
        <w:t>5 结论</w:t>
      </w:r>
    </w:p>
    <w:p>
      <w:pPr/>
      <w:r>
        <w:t>唐户植硅体、沿线陶器微体化石和语言谱系分析各自支持有价值但范围不同的结论。下一轮完整综述必须补齐中文原始考古文献、可复核的纳排记录和逐项证据定位，之后才有基础评价区域模式与长期历史影响。</w:t>
      </w:r>
    </w:p>
    <w:p>
      <w:pPr>
        <w:pStyle w:val="Heading1"/>
      </w:pPr>
      <w:r>
        <w:t>参考文献</w:t>
      </w:r>
    </w:p>
    <w:p>
      <w:pPr>
        <w:pStyle w:val="ReportReference"/>
      </w:pPr>
      <w:r>
        <w:t>Zhang, J., Lu, H., Gu, W., Wu, N., Zhou, K., Hu, Y., Xin, Y., &amp; Wang, C. (2012). Early mixed farming of millet and rice 7800 years ago in the Middle Yellow River region, China. PLOS ONE, 7(12), e52146.</w:t>
      </w:r>
      <w:r>
        <w:t xml:space="preserve"> </w:t>
      </w:r>
      <w:hyperlink r:id="rId10">
        <w:r>
          <w:rPr>
            <w:color w:val="086976"/>
          </w:rPr>
          <w:t>https://doi.org/10.1371/journal.pone.0052146</w:t>
        </w:r>
      </w:hyperlink>
    </w:p>
    <w:p>
      <w:pPr>
        <w:pStyle w:val="ReportReference"/>
      </w:pPr>
      <w:r>
        <w:t>Liu, L., Chen, J., Wang, J., Zhao, Y., &amp; Chen, X. (2022). Archaeological evidence for initial migration of Neolithic Proto Sino-Tibetan speakers from Yellow River valley to Tibetan Plateau. Proceedings of the National Academy of Sciences, 119(51), e2212006119.</w:t>
      </w:r>
      <w:r>
        <w:t xml:space="preserve"> </w:t>
      </w:r>
      <w:hyperlink r:id="rId11">
        <w:r>
          <w:rPr>
            <w:color w:val="086976"/>
          </w:rPr>
          <w:t>https://doi.org/10.1073/pnas.2212006119</w:t>
        </w:r>
      </w:hyperlink>
    </w:p>
    <w:p>
      <w:pPr>
        <w:pStyle w:val="ReportReference"/>
      </w:pPr>
      <w:r>
        <w:t>Zhang, M., Yan, S., Pan, W., &amp; Jin, L. (2019). Phylogenetic evidence for Sino-Tibetan origin in northern China in the Late Neolithic. Nature, 569, 112–115.</w:t>
      </w:r>
      <w:r>
        <w:t xml:space="preserve"> </w:t>
      </w:r>
      <w:hyperlink r:id="rId12">
        <w:r>
          <w:rPr>
            <w:color w:val="086976"/>
          </w:rPr>
          <w:t>https://doi.org/10.1038/s41586-019-1153-z</w:t>
        </w:r>
      </w:hyperlink>
    </w:p>
    <w:sectPr w:rsidR="00FC693F" w:rsidRPr="0006063C" w:rsidSect="00034616">
      <w:footerReference w:type="default" r:id="rId9"/>
      <w:pgSz w:w="11906" w:h="16838"/>
      <w:pgMar w:top="1247" w:right="1304" w:bottom="1191" w:left="1304"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0" w:lineRule="exact" w:after="140"/>
    </w:pPr>
    <w:rPr>
      <w:rFonts w:ascii="Times New Roman" w:hAnsi="Times New Roman" w:cs="Times New Roman" w:eastAsia="Noto Serif SC"/>
      <w:b w:val="0"/>
      <w:color w:val="1623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imes New Roman" w:hAnsi="Times New Roman" w:cs="Times New Roman" w:eastAsia="Noto Serif SC"/>
      <w:b/>
      <w:bCs/>
      <w:color w:val="16232E"/>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cs="Times New Roman" w:eastAsia="Noto Serif SC"/>
      <w:b/>
      <w:bCs/>
      <w:color w:val="16232E"/>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imes New Roman" w:hAnsi="Times New Roman" w:cs="Times New Roman" w:eastAsia="Noto Serif SC"/>
      <w:b/>
      <w:bCs/>
      <w:color w:val="1623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540" w:lineRule="exact"/>
      <w:contextualSpacing/>
    </w:pPr>
    <w:rPr>
      <w:rFonts w:ascii="Times New Roman" w:hAnsi="Times New Roman" w:cs="Times New Roman" w:eastAsia="Noto Serif SC"/>
      <w:b/>
      <w:color w:val="16232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imes New Roman" w:hAnsi="Times New Roman" w:cs="Times New Roman" w:eastAsia="Noto Serif SC"/>
      <w:b w:val="0"/>
      <w:i/>
      <w:iCs/>
      <w:color w:val="52636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Metadata">
    <w:name w:val="Report Metadata"/>
    <w:basedOn w:val="Normal"/>
    <w:pPr>
      <w:spacing w:after="220"/>
    </w:pPr>
    <w:rPr>
      <w:rFonts w:ascii="Times New Roman" w:hAnsi="Times New Roman" w:cs="Times New Roman" w:eastAsia="Noto Serif SC"/>
      <w:b w:val="0"/>
      <w:color w:val="52636F"/>
      <w:sz w:val="18"/>
    </w:rPr>
  </w:style>
  <w:style w:type="paragraph" w:customStyle="1" w:styleId="ReportCaption">
    <w:name w:val="Report Caption"/>
    <w:basedOn w:val="Normal"/>
    <w:pPr>
      <w:keepLines/>
      <w:spacing w:after="180"/>
    </w:pPr>
    <w:rPr>
      <w:rFonts w:ascii="Times New Roman" w:hAnsi="Times New Roman" w:cs="Times New Roman" w:eastAsia="Noto Serif SC"/>
      <w:b w:val="0"/>
      <w:color w:val="52636F"/>
      <w:sz w:val="18"/>
    </w:rPr>
  </w:style>
  <w:style w:type="paragraph" w:customStyle="1" w:styleId="ReportReference">
    <w:name w:val="Report Reference"/>
    <w:basedOn w:val="Normal"/>
    <w:pPr>
      <w:spacing w:after="100" w:line="280" w:lineRule="exact"/>
      <w:ind w:left="283" w:hanging="283"/>
    </w:pPr>
    <w:rPr>
      <w:rFonts w:ascii="Times New Roman" w:hAnsi="Times New Roman" w:cs="Times New Roman" w:eastAsia="Noto Serif SC"/>
      <w:b w:val="0"/>
      <w:color w:val="16232E"/>
      <w:sz w:val="19"/>
    </w:rPr>
  </w:style>
  <w:style w:type="paragraph" w:customStyle="1" w:styleId="ReportFooter">
    <w:name w:val="Report Footer"/>
    <w:basedOn w:val="Normal"/>
    <w:rPr>
      <w:rFonts w:ascii="Times New Roman" w:hAnsi="Times New Roman" w:cs="Times New Roman" w:eastAsia="Noto Serif SC"/>
      <w:b w:val="0"/>
      <w:color w:val="5263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371/journal.pone.0052146" TargetMode="External"/><Relationship Id="rId11" Type="http://schemas.openxmlformats.org/officeDocument/2006/relationships/hyperlink" Target="https://doi.org/10.1073/pnas.2212006119" TargetMode="External"/><Relationship Id="rId12" Type="http://schemas.openxmlformats.org/officeDocument/2006/relationships/hyperlink" Target="https://doi.org/10.1038/s41586-019-1153-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黄河中游新石器时代证据的跨学科边界</dc:title>
  <dc:subject/>
  <dc:creator>Mobius Science</dc:creator>
  <cp:keywords/>
  <dc:description>generated by python-docx</dc:description>
  <cp:lastModifiedBy/>
  <cp:revision>1</cp:revision>
  <dcterms:created xsi:type="dcterms:W3CDTF">2013-12-23T23:15:00Z</dcterms:created>
  <dcterms:modified xsi:type="dcterms:W3CDTF">2013-12-23T23:15:00Z</dcterms:modified>
  <cp:category/>
  <dc:language>zh-CN</dc:language>
</cp:coreProperties>
</file>