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Lines="100" w:afterLines="100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CFA一级官方教材变化对比（201</w:t>
      </w:r>
      <w:r>
        <w:rPr>
          <w:rFonts w:hint="eastAsia" w:asciiTheme="majorEastAsia" w:hAnsiTheme="majorEastAsia" w:eastAsiaTheme="majorEastAsia"/>
          <w:b/>
          <w:sz w:val="30"/>
          <w:szCs w:val="30"/>
          <w:lang w:val="en-US" w:eastAsia="zh-CN"/>
        </w:rPr>
        <w:t>7</w:t>
      </w:r>
      <w:r>
        <w:rPr>
          <w:rFonts w:hint="eastAsia" w:asciiTheme="majorEastAsia" w:hAnsiTheme="majorEastAsia" w:eastAsiaTheme="majorEastAsia"/>
          <w:b/>
          <w:sz w:val="30"/>
          <w:szCs w:val="30"/>
        </w:rPr>
        <w:t>-201</w:t>
      </w:r>
      <w:r>
        <w:rPr>
          <w:rFonts w:hint="eastAsia" w:asciiTheme="majorEastAsia" w:hAnsiTheme="majorEastAsia" w:eastAsiaTheme="majorEastAsia"/>
          <w:b/>
          <w:sz w:val="30"/>
          <w:szCs w:val="30"/>
          <w:lang w:val="en-US" w:eastAsia="zh-CN"/>
        </w:rPr>
        <w:t>8</w:t>
      </w:r>
      <w:r>
        <w:rPr>
          <w:rFonts w:hint="eastAsia" w:asciiTheme="majorEastAsia" w:hAnsiTheme="majorEastAsia" w:eastAsiaTheme="majorEastAsia"/>
          <w:b/>
          <w:sz w:val="30"/>
          <w:szCs w:val="30"/>
        </w:rPr>
        <w:t>）</w:t>
      </w:r>
    </w:p>
    <w:p>
      <w:pPr>
        <w:adjustRightInd w:val="0"/>
        <w:snapToGrid w:val="0"/>
        <w:spacing w:afterLines="50"/>
        <w:ind w:firstLine="420"/>
        <w:rPr>
          <w:rFonts w:hint="eastAsia" w:ascii="微软雅黑" w:hAnsi="微软雅黑" w:eastAsia="微软雅黑"/>
          <w:szCs w:val="21"/>
        </w:rPr>
      </w:pPr>
    </w:p>
    <w:p>
      <w:pPr>
        <w:adjustRightInd w:val="0"/>
        <w:snapToGrid w:val="0"/>
        <w:spacing w:afterLines="50"/>
        <w:ind w:firstLine="42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2018年CFA三个级别的考纲，均已经新鲜出炉。相较2017年，每个级别有了不同程度的变更。高顿CFA研究院专业的明星师资团队倾力，第一时间为你解读考纲变化，揣摩官方协会意图，令你及时树立备考风向标，把握考试动态，不做无用功！</w:t>
      </w:r>
    </w:p>
    <w:p>
      <w:pPr>
        <w:adjustRightInd w:val="0"/>
        <w:snapToGrid w:val="0"/>
        <w:spacing w:afterLines="50"/>
        <w:ind w:firstLine="420"/>
        <w:rPr>
          <w:rFonts w:hint="eastAsia" w:ascii="微软雅黑" w:hAnsi="微软雅黑" w:eastAsia="微软雅黑"/>
          <w:szCs w:val="21"/>
          <w:lang w:val="en-US" w:eastAsia="zh-CN"/>
        </w:rPr>
      </w:pPr>
      <w:bookmarkStart w:id="0" w:name="_GoBack"/>
      <w:bookmarkEnd w:id="0"/>
    </w:p>
    <w:p>
      <w:pPr>
        <w:adjustRightInd w:val="0"/>
        <w:snapToGrid w:val="0"/>
        <w:spacing w:afterLines="50"/>
        <w:ind w:firstLine="42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以下一些一级官方教材的变化，值得你关注：</w:t>
      </w:r>
    </w:p>
    <w:p>
      <w:pPr>
        <w:adjustRightInd w:val="0"/>
        <w:snapToGrid w:val="0"/>
        <w:spacing w:afterLines="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Cs w:val="21"/>
        </w:rPr>
        <w:t>CFA一级考纲近几年有较大改变，和201</w:t>
      </w: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szCs w:val="21"/>
        </w:rPr>
        <w:t>年CFA一级官方教材相比，201</w:t>
      </w:r>
      <w:r>
        <w:rPr>
          <w:rFonts w:hint="eastAsia" w:ascii="微软雅黑" w:hAnsi="微软雅黑" w:eastAsia="微软雅黑"/>
          <w:szCs w:val="21"/>
          <w:lang w:val="en-US" w:eastAsia="zh-CN"/>
        </w:rPr>
        <w:t>8</w:t>
      </w:r>
      <w:r>
        <w:rPr>
          <w:rFonts w:hint="eastAsia" w:ascii="微软雅黑" w:hAnsi="微软雅黑" w:eastAsia="微软雅黑"/>
          <w:szCs w:val="21"/>
        </w:rPr>
        <w:t>年CFA一级官方教材部分科目有新变化。</w:t>
      </w:r>
    </w:p>
    <w:p>
      <w:pPr>
        <w:adjustRightInd w:val="0"/>
        <w:snapToGrid w:val="0"/>
        <w:spacing w:afterLines="50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首先，各科目的考试比重继续沿用1</w:t>
      </w: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szCs w:val="21"/>
        </w:rPr>
        <w:t>年的比重。其次具体到各科目的考试内容，需要注意以下几科的变化：</w:t>
      </w:r>
    </w:p>
    <w:p>
      <w:pPr>
        <w:pStyle w:val="16"/>
        <w:numPr>
          <w:ilvl w:val="0"/>
          <w:numId w:val="0"/>
        </w:numPr>
        <w:adjustRightInd w:val="0"/>
        <w:snapToGrid w:val="0"/>
        <w:spacing w:afterLines="50"/>
        <w:ind w:firstLine="42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 xml:space="preserve">1 . </w:t>
      </w:r>
      <w:r>
        <w:rPr>
          <w:rFonts w:hint="eastAsia" w:ascii="微软雅黑" w:hAnsi="微软雅黑" w:eastAsia="微软雅黑"/>
          <w:szCs w:val="21"/>
        </w:rPr>
        <w:t>数量方法（Quantitative Methods）与1</w:t>
      </w: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szCs w:val="21"/>
        </w:rPr>
        <w:t>年相比1</w:t>
      </w:r>
      <w:r>
        <w:rPr>
          <w:rFonts w:hint="eastAsia" w:ascii="微软雅黑" w:hAnsi="微软雅黑" w:eastAsia="微软雅黑"/>
          <w:szCs w:val="21"/>
          <w:lang w:val="en-US" w:eastAsia="zh-CN"/>
        </w:rPr>
        <w:t>8</w:t>
      </w:r>
      <w:r>
        <w:rPr>
          <w:rFonts w:hint="eastAsia" w:ascii="微软雅黑" w:hAnsi="微软雅黑" w:eastAsia="微软雅黑"/>
          <w:szCs w:val="21"/>
        </w:rPr>
        <w:t>年考纲总体变化不大，需要注意在</w:t>
      </w:r>
      <w:r>
        <w:rPr>
          <w:rFonts w:ascii="微软雅黑" w:hAnsi="微软雅黑" w:eastAsia="微软雅黑" w:cs="宋体"/>
          <w:kern w:val="0"/>
          <w:szCs w:val="21"/>
        </w:rPr>
        <w:t xml:space="preserve">Study Session 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3</w:t>
      </w:r>
      <w:r>
        <w:rPr>
          <w:rFonts w:ascii="微软雅黑" w:hAnsi="微软雅黑" w:eastAsia="微软雅黑" w:cs="宋体"/>
          <w:kern w:val="0"/>
          <w:szCs w:val="21"/>
        </w:rPr>
        <w:t>，</w:t>
      </w:r>
      <w:r>
        <w:rPr>
          <w:rFonts w:hint="eastAsia" w:ascii="微软雅黑" w:hAnsi="微软雅黑" w:eastAsia="微软雅黑" w:cs="宋体"/>
          <w:kern w:val="0"/>
          <w:szCs w:val="21"/>
        </w:rPr>
        <w:t>Reading 10: Common Probability Distributions</w:t>
      </w:r>
      <w:r>
        <w:rPr>
          <w:rFonts w:ascii="微软雅黑" w:hAnsi="微软雅黑" w:eastAsia="微软雅黑" w:cs="宋体"/>
          <w:kern w:val="0"/>
          <w:szCs w:val="21"/>
        </w:rPr>
        <w:t>部分，删除</w:t>
      </w:r>
      <w:r>
        <w:rPr>
          <w:rFonts w:hint="eastAsia" w:ascii="微软雅黑" w:hAnsi="微软雅黑" w:eastAsia="微软雅黑" w:cs="宋体"/>
          <w:kern w:val="0"/>
          <w:szCs w:val="21"/>
        </w:rPr>
        <w:t>了“tracking error”</w:t>
      </w:r>
      <w:r>
        <w:rPr>
          <w:rFonts w:ascii="微软雅黑" w:hAnsi="微软雅黑" w:eastAsia="微软雅黑" w:cs="宋体"/>
          <w:kern w:val="0"/>
          <w:szCs w:val="21"/>
        </w:rPr>
        <w:t>的理解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及计算</w:t>
      </w:r>
      <w:r>
        <w:rPr>
          <w:rFonts w:ascii="微软雅黑" w:hAnsi="微软雅黑" w:eastAsia="微软雅黑" w:cs="宋体"/>
          <w:kern w:val="0"/>
          <w:szCs w:val="21"/>
        </w:rPr>
        <w:t>。</w:t>
      </w:r>
    </w:p>
    <w:p>
      <w:pPr>
        <w:pStyle w:val="16"/>
        <w:numPr>
          <w:ilvl w:val="0"/>
          <w:numId w:val="0"/>
        </w:numPr>
        <w:adjustRightInd w:val="0"/>
        <w:snapToGrid w:val="0"/>
        <w:spacing w:afterLines="50"/>
        <w:ind w:firstLine="42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 xml:space="preserve">2. </w:t>
      </w:r>
      <w:r>
        <w:rPr>
          <w:rFonts w:hint="eastAsia" w:ascii="微软雅黑" w:hAnsi="微软雅黑" w:eastAsia="微软雅黑"/>
          <w:szCs w:val="21"/>
        </w:rPr>
        <w:t>公司金融（Corporate Finance）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删掉了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Study Session 11里面的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Reading 38: Dividends and Share Repurchases: Basics。</w:t>
      </w:r>
    </w:p>
    <w:p>
      <w:pPr>
        <w:adjustRightInd w:val="0"/>
        <w:snapToGrid w:val="0"/>
        <w:ind w:firstLine="42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3. </w:t>
      </w:r>
      <w:r>
        <w:rPr>
          <w:rFonts w:hint="eastAsia" w:ascii="微软雅黑" w:hAnsi="微软雅黑" w:eastAsia="微软雅黑"/>
          <w:szCs w:val="21"/>
        </w:rPr>
        <w:t>投资组合（Portfolio Management and Wealth Planning）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在Reading 42 里新增知识点 </w:t>
      </w:r>
      <w:r>
        <w:rPr>
          <w:rFonts w:hint="default" w:ascii="微软雅黑" w:hAnsi="微软雅黑" w:eastAsia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calculate and interpret the Sharpe ratio, Treynor ratio, M2, and Jensen’s alpha.”。</w:t>
      </w:r>
    </w:p>
    <w:p>
      <w:pPr>
        <w:adjustRightInd w:val="0"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ind w:firstLine="42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权益投资（Equity Investments）</w:t>
      </w:r>
      <w:r>
        <w:rPr>
          <w:rFonts w:hint="eastAsia" w:ascii="微软雅黑" w:hAnsi="微软雅黑" w:eastAsia="微软雅黑"/>
          <w:szCs w:val="21"/>
          <w:lang w:val="en-US" w:eastAsia="zh-CN"/>
        </w:rPr>
        <w:t>在Reading 49: Equity Valuation: Concepts and Basic Tools 里新增知识点</w:t>
      </w:r>
      <w:r>
        <w:rPr>
          <w:rFonts w:hint="default" w:ascii="微软雅黑" w:hAnsi="微软雅黑" w:eastAsia="微软雅黑"/>
          <w:szCs w:val="21"/>
          <w:lang w:val="en-US" w:eastAsia="zh-CN"/>
        </w:rPr>
        <w:t>”describe regular cash dividends, extra dividends, stock dividends, stock splits, reverse stock splits, and share repurchases”</w:t>
      </w:r>
      <w:r>
        <w:rPr>
          <w:rFonts w:hint="eastAsia" w:ascii="微软雅黑" w:hAnsi="微软雅黑" w:eastAsia="微软雅黑"/>
          <w:szCs w:val="21"/>
          <w:lang w:val="en-US" w:eastAsia="zh-CN"/>
        </w:rPr>
        <w:t>和</w:t>
      </w:r>
      <w:r>
        <w:rPr>
          <w:rFonts w:hint="default" w:ascii="微软雅黑" w:hAnsi="微软雅黑" w:eastAsia="微软雅黑"/>
          <w:szCs w:val="21"/>
          <w:lang w:val="en-US" w:eastAsia="zh-CN"/>
        </w:rPr>
        <w:t>“describe dividend payment chronology”</w:t>
      </w:r>
      <w:r>
        <w:rPr>
          <w:rFonts w:hint="eastAsia" w:ascii="微软雅黑" w:hAnsi="微软雅黑" w:eastAsia="微软雅黑"/>
          <w:szCs w:val="21"/>
          <w:lang w:val="en-US" w:eastAsia="zh-CN"/>
        </w:rPr>
        <w:t>。</w:t>
      </w:r>
    </w:p>
    <w:p>
      <w:pPr>
        <w:numPr>
          <w:numId w:val="0"/>
        </w:numPr>
        <w:adjustRightInd w:val="0"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5. </w:t>
      </w:r>
      <w:r>
        <w:rPr>
          <w:rFonts w:hint="eastAsia" w:ascii="微软雅黑" w:hAnsi="微软雅黑" w:eastAsia="微软雅黑"/>
          <w:szCs w:val="21"/>
        </w:rPr>
        <w:t>固定收益投资（Fixed Income） Reading 51: Fixed-Income Markets: Issuance, Trading, and Funding</w:t>
      </w:r>
      <w:r>
        <w:rPr>
          <w:rFonts w:hint="eastAsia" w:ascii="微软雅黑" w:hAnsi="微软雅黑" w:eastAsia="微软雅黑"/>
          <w:szCs w:val="21"/>
          <w:lang w:val="en-US" w:eastAsia="zh-CN"/>
        </w:rPr>
        <w:t>里新增知识点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describe structured financial instruments”。</w:t>
      </w:r>
    </w:p>
    <w:p>
      <w:pPr>
        <w:adjustRightInd w:val="0"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djustRightInd w:val="0"/>
        <w:snapToGrid w:val="0"/>
        <w:ind w:firstLine="42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6. </w:t>
      </w:r>
      <w:r>
        <w:rPr>
          <w:rFonts w:hint="eastAsia" w:ascii="微软雅黑" w:hAnsi="微软雅黑" w:eastAsia="微软雅黑"/>
          <w:szCs w:val="21"/>
        </w:rPr>
        <w:t>衍生工具（Derivatives）</w:t>
      </w:r>
      <w:r>
        <w:rPr>
          <w:rFonts w:hint="eastAsia" w:ascii="微软雅黑" w:hAnsi="微软雅黑" w:eastAsia="微软雅黑"/>
          <w:szCs w:val="21"/>
          <w:lang w:val="en-US" w:eastAsia="zh-CN"/>
        </w:rPr>
        <w:t>删除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Study Session 17里面的</w:t>
      </w:r>
      <w:r>
        <w:rPr>
          <w:rFonts w:hint="eastAsia" w:ascii="微软雅黑" w:hAnsi="微软雅黑" w:eastAsia="微软雅黑"/>
          <w:szCs w:val="21"/>
          <w:lang w:val="en-US" w:eastAsia="zh-CN"/>
        </w:rPr>
        <w:t>Reading 59: Risk Management Applications of Option Strategies。</w:t>
      </w:r>
    </w:p>
    <w:p>
      <w:pPr>
        <w:adjustRightInd w:val="0"/>
        <w:snapToGrid w:val="0"/>
        <w:ind w:firstLine="420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djustRightInd w:val="0"/>
        <w:snapToGrid w:val="0"/>
        <w:rPr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另外几科：</w:t>
      </w:r>
      <w:r>
        <w:rPr>
          <w:rFonts w:hint="eastAsia" w:ascii="微软雅黑" w:hAnsi="微软雅黑" w:eastAsia="微软雅黑"/>
          <w:szCs w:val="21"/>
        </w:rPr>
        <w:t>伦理道德与专业准则（Ethical and Professional Standards）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、经济学 </w:t>
      </w:r>
      <w:r>
        <w:rPr>
          <w:rFonts w:hint="eastAsia" w:ascii="微软雅黑" w:hAnsi="微软雅黑" w:eastAsia="微软雅黑"/>
          <w:szCs w:val="21"/>
        </w:rPr>
        <w:t>（Economics）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、</w:t>
      </w:r>
      <w:r>
        <w:rPr>
          <w:rFonts w:hint="eastAsia" w:ascii="微软雅黑" w:hAnsi="微软雅黑" w:eastAsia="微软雅黑"/>
          <w:szCs w:val="21"/>
        </w:rPr>
        <w:t>财务报表分析（</w:t>
      </w:r>
      <w:r>
        <w:rPr>
          <w:rFonts w:ascii="微软雅黑" w:hAnsi="微软雅黑" w:eastAsia="微软雅黑" w:cs="Arial"/>
          <w:bCs/>
          <w:szCs w:val="21"/>
        </w:rPr>
        <w:t>Financial Reporting and Analysis</w:t>
      </w:r>
      <w:r>
        <w:rPr>
          <w:rFonts w:hint="eastAsia" w:ascii="微软雅黑" w:hAnsi="微软雅黑" w:eastAsia="微软雅黑"/>
          <w:szCs w:val="21"/>
        </w:rPr>
        <w:t>）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、</w:t>
      </w:r>
      <w:r>
        <w:rPr>
          <w:rFonts w:hint="eastAsia" w:ascii="微软雅黑" w:hAnsi="微软雅黑" w:eastAsia="微软雅黑"/>
          <w:szCs w:val="21"/>
        </w:rPr>
        <w:t>其他类投资（Alternative Investments）考纲内容与1</w:t>
      </w: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szCs w:val="21"/>
        </w:rPr>
        <w:t>年相比基本没有变化。</w:t>
      </w:r>
    </w:p>
    <w:sectPr>
      <w:headerReference r:id="rId3" w:type="default"/>
      <w:footerReference r:id="rId4" w:type="default"/>
      <w:pgSz w:w="11906" w:h="16838"/>
      <w:pgMar w:top="1440" w:right="1133" w:bottom="1276" w:left="1134" w:header="851" w:footer="61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4A4A4" w:themeColor="background1" w:themeShade="A5" w:sz="4" w:space="1"/>
      </w:pBdr>
      <w:jc w:val="center"/>
      <w:rPr>
        <w:color w:val="7E7E7E" w:themeColor="background1" w:themeShade="7F"/>
      </w:rPr>
    </w:pPr>
    <w:r>
      <w:rPr>
        <w:color w:val="7E7E7E" w:themeColor="background1" w:themeShade="7F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5501005</wp:posOffset>
              </wp:positionH>
              <wp:positionV relativeFrom="paragraph">
                <wp:posOffset>-211455</wp:posOffset>
              </wp:positionV>
              <wp:extent cx="524510" cy="231775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4510" cy="231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rFonts w:hint="eastAsia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rPr>
                              <w:lang w:val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-</w:t>
                          </w:r>
                        </w:p>
                      </w:txbxContent>
                    </wps:txbx>
                    <wps:bodyPr lIns="91440" tIns="0" rIns="9144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3.15pt;margin-top:-16.65pt;height:18.25pt;width:41.3pt;z-index:251697152;mso-width-relative:page;mso-height-relative:page;" filled="f" stroked="f" coordsize="21600,21600" o:gfxdata="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20WMTYAAAACQEAAA8AAAAAAAAAAQAgAAAAIgAAAGRycy9kb3ducmV2LnhtbFBLAQIUABQAAAAI&#10;AIdO4kCygVb5tAEAAEwDAAAOAAAAAAAAAAEAIAAAACc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2.54mm,0mm,2.54mm,0mm">
                <w:txbxContent>
                  <w:p>
                    <w:pPr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2</w:t>
                    </w:r>
                    <w:r>
                      <w:rPr>
                        <w:lang w:val="zh-CN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  <w:sdt>
      <w:sdtPr>
        <w:alias w:val="公司"/>
        <w:id w:val="76161118"/>
        <w:placeholder>
          <w:docPart w:val="A0F7A561D771482C9B76A384459B5920"/>
        </w:placeholder>
        <w:text/>
      </w:sdtPr>
      <w:sdtContent>
        <w:r>
          <w:rPr>
            <w:rFonts w:hint="eastAsia"/>
          </w:rPr>
          <w:t>咨询：400-600-8011  邮箱：cfa@gaodun.cn  网站：http://finance.gaodun.cn</w:t>
        </w:r>
      </w:sdtContent>
    </w:sdt>
    <w:r>
      <w:rPr>
        <w:color w:val="7E7E7E" w:themeColor="background1" w:themeShade="7F"/>
        <w:lang w:val="zh-CN"/>
      </w:rPr>
      <w:t>|</w:t>
    </w:r>
    <w:sdt>
      <w:sdtPr>
        <w:rPr>
          <w:b/>
        </w:rPr>
        <w:alias w:val="地址"/>
        <w:id w:val="76161122"/>
        <w:placeholder>
          <w:docPart w:val="1E11AA381CAA41E7AE1E8A726AB6049E"/>
        </w:placeholder>
        <w:text w:multiLine="1"/>
      </w:sdtPr>
      <w:sdtEndPr>
        <w:rPr>
          <w:b/>
        </w:rPr>
      </w:sdtEndPr>
      <w:sdtContent>
        <w:r>
          <w:rPr>
            <w:rFonts w:hint="eastAsia"/>
            <w:b/>
          </w:rPr>
          <w:t xml:space="preserve">高顿财经  </w:t>
        </w:r>
      </w:sdtContent>
    </w:sdt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-71120</wp:posOffset>
          </wp:positionV>
          <wp:extent cx="3352800" cy="463550"/>
          <wp:effectExtent l="0" t="0" r="0" b="12700"/>
          <wp:wrapSquare wrapText="bothSides"/>
          <wp:docPr id="2" name="图片 2" descr="cfa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fa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5280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4194810</wp:posOffset>
              </wp:positionH>
              <wp:positionV relativeFrom="paragraph">
                <wp:posOffset>-102235</wp:posOffset>
              </wp:positionV>
              <wp:extent cx="2202180" cy="5143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sz w:val="24"/>
                              <w:szCs w:val="24"/>
                            </w:rPr>
                            <w:t>全球财经教育领导品牌</w:t>
                          </w:r>
                          <w:r>
                            <w:rPr>
                              <w:sz w:val="24"/>
                              <w:szCs w:val="24"/>
                            </w:rPr>
                            <w:br w:type="textWrapping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4"/>
                              <w:szCs w:val="24"/>
                            </w:rPr>
                            <w:t>http://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  <w:sz w:val="24"/>
                              <w:szCs w:val="24"/>
                            </w:rPr>
                            <w:t>finance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4"/>
                              <w:szCs w:val="24"/>
                            </w:rPr>
                            <w:t>.gaodun.cn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0.3pt;margin-top:-8.05pt;height:40.5pt;width:173.4pt;z-index:251660288;mso-width-relative:margin;mso-height-relative:margin;" filled="f" stroked="f" coordsize="21600,21600" o:gfxdata="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FwK6rXAAAACwEAAA8AAAAA&#10;AAAAAQAgAAAAIgAAAGRycy9kb3ducmV2LnhtbFBLAQIUABQAAAAIAIdO4kBNh32xowEAACEDAAAO&#10;AAAAAAAAAAEAIAAAACYBAABkcnMvZTJvRG9jLnhtbFBLBQYAAAAABgAGAFkBAAA7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  <w:szCs w:val="24"/>
                      </w:rPr>
                      <w:t>全球财经教育领导品牌</w:t>
                    </w:r>
                    <w:r>
                      <w:rPr>
                        <w:sz w:val="24"/>
                        <w:szCs w:val="24"/>
                      </w:rPr>
                      <w:br w:type="textWrapping"/>
                    </w:r>
                    <w:r>
                      <w:rPr>
                        <w:rFonts w:ascii="Arial Unicode MS" w:hAnsi="Arial Unicode MS" w:eastAsia="Arial Unicode MS" w:cs="Arial Unicode MS"/>
                        <w:sz w:val="24"/>
                        <w:szCs w:val="24"/>
                      </w:rPr>
                      <w:t>http://</w:t>
                    </w:r>
                    <w:r>
                      <w:rPr>
                        <w:rFonts w:hint="eastAsia" w:ascii="Arial Unicode MS" w:hAnsi="Arial Unicode MS" w:eastAsia="Arial Unicode MS" w:cs="Arial Unicode MS"/>
                        <w:sz w:val="24"/>
                        <w:szCs w:val="24"/>
                      </w:rPr>
                      <w:t>finance</w:t>
                    </w:r>
                    <w:r>
                      <w:rPr>
                        <w:rFonts w:ascii="Arial Unicode MS" w:hAnsi="Arial Unicode MS" w:eastAsia="Arial Unicode MS" w:cs="Arial Unicode MS"/>
                        <w:sz w:val="24"/>
                        <w:szCs w:val="24"/>
                      </w:rPr>
                      <w:t>.gaodun.cn</w:t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</w:pP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06E3"/>
    <w:multiLevelType w:val="singleLevel"/>
    <w:tmpl w:val="597B06E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BAB"/>
    <w:rsid w:val="000262EB"/>
    <w:rsid w:val="00061A4F"/>
    <w:rsid w:val="000A1E27"/>
    <w:rsid w:val="0010549D"/>
    <w:rsid w:val="001155AF"/>
    <w:rsid w:val="001215C8"/>
    <w:rsid w:val="0012508B"/>
    <w:rsid w:val="00152025"/>
    <w:rsid w:val="001648F3"/>
    <w:rsid w:val="00172A27"/>
    <w:rsid w:val="0018274C"/>
    <w:rsid w:val="001B4E4A"/>
    <w:rsid w:val="001E2F40"/>
    <w:rsid w:val="00213BFA"/>
    <w:rsid w:val="002627EC"/>
    <w:rsid w:val="00295F0F"/>
    <w:rsid w:val="002974A4"/>
    <w:rsid w:val="002A53CD"/>
    <w:rsid w:val="002B3BA1"/>
    <w:rsid w:val="002B46CB"/>
    <w:rsid w:val="002C4D66"/>
    <w:rsid w:val="002C64E8"/>
    <w:rsid w:val="002D5709"/>
    <w:rsid w:val="003735BA"/>
    <w:rsid w:val="00393777"/>
    <w:rsid w:val="00394AB3"/>
    <w:rsid w:val="003950B5"/>
    <w:rsid w:val="003B5DB2"/>
    <w:rsid w:val="003D616C"/>
    <w:rsid w:val="00440193"/>
    <w:rsid w:val="00463C45"/>
    <w:rsid w:val="00465F79"/>
    <w:rsid w:val="00532306"/>
    <w:rsid w:val="00547D69"/>
    <w:rsid w:val="005516BF"/>
    <w:rsid w:val="00554439"/>
    <w:rsid w:val="00596C8C"/>
    <w:rsid w:val="00620B73"/>
    <w:rsid w:val="0063351D"/>
    <w:rsid w:val="00636ECD"/>
    <w:rsid w:val="00652E18"/>
    <w:rsid w:val="006B5FD4"/>
    <w:rsid w:val="006E30B8"/>
    <w:rsid w:val="00700784"/>
    <w:rsid w:val="00707B07"/>
    <w:rsid w:val="00721C28"/>
    <w:rsid w:val="00731FC9"/>
    <w:rsid w:val="007379EC"/>
    <w:rsid w:val="007777EE"/>
    <w:rsid w:val="0079552F"/>
    <w:rsid w:val="007D14EC"/>
    <w:rsid w:val="007E2BEE"/>
    <w:rsid w:val="007F1BF5"/>
    <w:rsid w:val="007F631E"/>
    <w:rsid w:val="007F7C48"/>
    <w:rsid w:val="00820904"/>
    <w:rsid w:val="00830ACD"/>
    <w:rsid w:val="00847075"/>
    <w:rsid w:val="0089024C"/>
    <w:rsid w:val="0090073E"/>
    <w:rsid w:val="00941CE6"/>
    <w:rsid w:val="00944F68"/>
    <w:rsid w:val="00953EE8"/>
    <w:rsid w:val="00955E03"/>
    <w:rsid w:val="00972EF0"/>
    <w:rsid w:val="009778A2"/>
    <w:rsid w:val="009C0E94"/>
    <w:rsid w:val="009E3DEE"/>
    <w:rsid w:val="009E528F"/>
    <w:rsid w:val="00A2731A"/>
    <w:rsid w:val="00A327EA"/>
    <w:rsid w:val="00A34165"/>
    <w:rsid w:val="00A46DD5"/>
    <w:rsid w:val="00A74FA3"/>
    <w:rsid w:val="00A962E2"/>
    <w:rsid w:val="00AC4510"/>
    <w:rsid w:val="00AC52D6"/>
    <w:rsid w:val="00AD0F7E"/>
    <w:rsid w:val="00AF7A2C"/>
    <w:rsid w:val="00B17C0D"/>
    <w:rsid w:val="00B55718"/>
    <w:rsid w:val="00B56B85"/>
    <w:rsid w:val="00BB1B1F"/>
    <w:rsid w:val="00BB6258"/>
    <w:rsid w:val="00BF5E42"/>
    <w:rsid w:val="00C16409"/>
    <w:rsid w:val="00C56E81"/>
    <w:rsid w:val="00C8087F"/>
    <w:rsid w:val="00C82F14"/>
    <w:rsid w:val="00CC62A7"/>
    <w:rsid w:val="00CD6397"/>
    <w:rsid w:val="00CE318F"/>
    <w:rsid w:val="00D72E49"/>
    <w:rsid w:val="00D841D4"/>
    <w:rsid w:val="00D857DA"/>
    <w:rsid w:val="00D95F27"/>
    <w:rsid w:val="00DC48E9"/>
    <w:rsid w:val="00E05F53"/>
    <w:rsid w:val="00E065F9"/>
    <w:rsid w:val="00E43A96"/>
    <w:rsid w:val="00E50675"/>
    <w:rsid w:val="00E83613"/>
    <w:rsid w:val="00E93903"/>
    <w:rsid w:val="00EA27EB"/>
    <w:rsid w:val="00EC1313"/>
    <w:rsid w:val="00EF2007"/>
    <w:rsid w:val="00F01A14"/>
    <w:rsid w:val="00F17F9C"/>
    <w:rsid w:val="00F44116"/>
    <w:rsid w:val="00FC1727"/>
    <w:rsid w:val="00FD55EC"/>
    <w:rsid w:val="00FF513B"/>
    <w:rsid w:val="024338B5"/>
    <w:rsid w:val="111D05F9"/>
    <w:rsid w:val="160A2596"/>
    <w:rsid w:val="16FE2E11"/>
    <w:rsid w:val="1C8C4F2D"/>
    <w:rsid w:val="27B65C7B"/>
    <w:rsid w:val="31BE21FD"/>
    <w:rsid w:val="3AF7311F"/>
    <w:rsid w:val="467E6205"/>
    <w:rsid w:val="4A0B08FC"/>
    <w:rsid w:val="4DBD063D"/>
    <w:rsid w:val="4E253F66"/>
    <w:rsid w:val="6EE203FC"/>
    <w:rsid w:val="71785B8D"/>
    <w:rsid w:val="7B472F56"/>
    <w:rsid w:val="7F1A6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rPr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2">
    <w:name w:val="无间隔1"/>
    <w:link w:val="1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3">
    <w:name w:val="无间隔 Char"/>
    <w:basedOn w:val="6"/>
    <w:link w:val="12"/>
    <w:qFormat/>
    <w:uiPriority w:val="1"/>
    <w:rPr>
      <w:kern w:val="0"/>
      <w:sz w:val="2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0F7A561D771482C9B76A384459B592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3A6B21-3094-4544-9725-81C794BE795E}"/>
      </w:docPartPr>
      <w:docPartBody>
        <w:p>
          <w:pPr>
            <w:pStyle w:val="6"/>
          </w:pPr>
          <w:r>
            <w:rPr>
              <w:color w:val="7E7E7E" w:themeColor="background1" w:themeShade="7F"/>
              <w:lang w:val="zh-CN"/>
            </w:rPr>
            <w:t>[键入公司名称]</w:t>
          </w:r>
        </w:p>
      </w:docPartBody>
    </w:docPart>
    <w:docPart>
      <w:docPartPr>
        <w:name w:val="1E11AA381CAA41E7AE1E8A726AB6049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0CC2FD-04ED-4E7B-80CC-54DC307B713A}"/>
      </w:docPartPr>
      <w:docPartBody>
        <w:p>
          <w:pPr>
            <w:pStyle w:val="7"/>
          </w:pPr>
          <w:r>
            <w:rPr>
              <w:color w:val="7E7E7E" w:themeColor="background1" w:themeShade="7F"/>
              <w:lang w:val="zh-CN"/>
            </w:rPr>
            <w:t>[键入公司地址]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D60159"/>
    <w:rsid w:val="00015C94"/>
    <w:rsid w:val="00031D60"/>
    <w:rsid w:val="000426DE"/>
    <w:rsid w:val="00063885"/>
    <w:rsid w:val="001908EA"/>
    <w:rsid w:val="002307C2"/>
    <w:rsid w:val="0024698F"/>
    <w:rsid w:val="003E0FA6"/>
    <w:rsid w:val="00413F83"/>
    <w:rsid w:val="00472ACF"/>
    <w:rsid w:val="004E42D3"/>
    <w:rsid w:val="00642BFD"/>
    <w:rsid w:val="006F11F4"/>
    <w:rsid w:val="00712C90"/>
    <w:rsid w:val="00712EEF"/>
    <w:rsid w:val="0074635F"/>
    <w:rsid w:val="0090273A"/>
    <w:rsid w:val="00BD6110"/>
    <w:rsid w:val="00CA03AF"/>
    <w:rsid w:val="00D23D08"/>
    <w:rsid w:val="00D601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06F1C1839E44C66B650A56F8643A3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D300E8BC8884EBD8A80321A78A076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A0F7A561D771482C9B76A384459B59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E11AA381CAA41E7AE1E8A726AB6049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/>
  <Abstract/>
  <CompanyAddress>高顿财经  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CB3CCC75-C998-4EB5-8CFF-27F5FB4F36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学服：021-51210513  咨询：400-600-8011  邮箱：cfa@gaodun.cn  网站：cfa.gaodun.cn</Company>
  <Pages>2</Pages>
  <Words>352</Words>
  <Characters>2013</Characters>
  <Lines>16</Lines>
  <Paragraphs>4</Paragraphs>
  <ScaleCrop>false</ScaleCrop>
  <LinksUpToDate>false</LinksUpToDate>
  <CharactersWithSpaces>2361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2011-08-01T12:55:00Z</dcterms:created>
  <dc:creator>brooke</dc:creator>
  <cp:lastModifiedBy>高顿</cp:lastModifiedBy>
  <cp:lastPrinted>2013-11-22T05:22:00Z</cp:lastPrinted>
  <dcterms:modified xsi:type="dcterms:W3CDTF">2017-07-28T09:44:49Z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