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6"/>
          <w:szCs w:val="36"/>
        </w:rPr>
      </w:pPr>
      <w:r>
        <w:rPr>
          <w:rFonts w:hint="eastAsia"/>
          <w:b/>
          <w:sz w:val="36"/>
          <w:szCs w:val="36"/>
        </w:rPr>
        <w:t>CFA重点精要-L1-</w:t>
      </w:r>
      <w:r>
        <w:rPr>
          <w:rFonts w:hint="eastAsia"/>
          <w:b/>
          <w:sz w:val="36"/>
          <w:szCs w:val="36"/>
          <w:lang w:val="en-US" w:eastAsia="zh-CN"/>
        </w:rPr>
        <w:t>Ethics</w:t>
      </w:r>
    </w:p>
    <w:p>
      <w:pPr>
        <w:ind w:firstLine="425" w:firstLineChars="177"/>
        <w:jc w:val="left"/>
        <w:rPr>
          <w:rFonts w:hint="eastAsia" w:ascii="宋体" w:hAnsi="宋体" w:cs="Arial"/>
          <w:szCs w:val="21"/>
        </w:rPr>
      </w:pPr>
      <w:r>
        <w:rPr>
          <w:rFonts w:hint="eastAsia" w:ascii="宋体" w:hAnsi="宋体" w:cs="Arial"/>
          <w:b w:val="0"/>
          <w:bCs/>
          <w:szCs w:val="21"/>
        </w:rPr>
        <w:t>CFA 职业道德与专业行为标准（CFA Ethical and Professional Standards</w:t>
      </w:r>
      <w:r>
        <w:rPr>
          <w:rFonts w:ascii="宋体" w:hAnsi="宋体" w:cs="Arial"/>
          <w:b w:val="0"/>
          <w:bCs/>
          <w:szCs w:val="21"/>
        </w:rPr>
        <w:t>）</w:t>
      </w:r>
      <w:r>
        <w:rPr>
          <w:rFonts w:hint="eastAsia" w:ascii="宋体" w:hAnsi="宋体" w:cs="Arial"/>
          <w:szCs w:val="21"/>
        </w:rPr>
        <w:t>向来是CFA考试的重</w:t>
      </w:r>
      <w:r>
        <w:rPr>
          <w:rFonts w:hint="eastAsia" w:ascii="宋体" w:hAnsi="宋体" w:cs="Arial"/>
          <w:szCs w:val="21"/>
          <w:lang w:eastAsia="zh-CN"/>
        </w:rPr>
        <w:t>要科目</w:t>
      </w:r>
      <w:r>
        <w:rPr>
          <w:rFonts w:hint="eastAsia" w:ascii="宋体" w:hAnsi="宋体" w:cs="Arial"/>
          <w:szCs w:val="21"/>
        </w:rPr>
        <w:t>（CFA一级的比重达15%</w:t>
      </w:r>
      <w:r>
        <w:rPr>
          <w:rFonts w:hint="eastAsia" w:ascii="宋体" w:hAnsi="宋体" w:cs="Arial"/>
          <w:szCs w:val="21"/>
          <w:lang w:eastAsia="zh-CN"/>
        </w:rPr>
        <w:t>，仅次于财务报表分析</w:t>
      </w:r>
      <w:r>
        <w:rPr>
          <w:rFonts w:hint="eastAsia" w:ascii="宋体" w:hAnsi="宋体" w:cs="Arial"/>
          <w:szCs w:val="21"/>
        </w:rPr>
        <w:t>）。在CFA考试中，职业道德与专业行为标准的考题往往最先出现。迅速并准确解答这部分考题，不仅有助于从考试开始就建立起信心，也能提高通过考试的机率。</w:t>
      </w:r>
    </w:p>
    <w:p>
      <w:pPr>
        <w:spacing w:before="240"/>
        <w:ind w:firstLine="420" w:firstLineChars="200"/>
        <w:rPr>
          <w:rFonts w:ascii="宋体" w:hAnsi="宋体" w:cs="Arial"/>
          <w:szCs w:val="21"/>
        </w:rPr>
      </w:pPr>
      <w:r>
        <w:rPr>
          <w:rFonts w:hint="eastAsia" w:ascii="宋体" w:hAnsi="宋体" w:cs="Arial"/>
          <w:szCs w:val="21"/>
        </w:rPr>
        <w:t>CFA</w:t>
      </w:r>
      <w:r>
        <w:rPr>
          <w:rFonts w:hint="eastAsia" w:ascii="宋体" w:hAnsi="宋体" w:cs="Arial"/>
          <w:szCs w:val="21"/>
          <w:lang w:eastAsia="zh-CN"/>
        </w:rPr>
        <w:t>职业伦理</w:t>
      </w:r>
      <w:r>
        <w:rPr>
          <w:rFonts w:hint="eastAsia" w:ascii="宋体" w:hAnsi="宋体" w:cs="Arial"/>
          <w:szCs w:val="21"/>
        </w:rPr>
        <w:t>在金融投资行业的运用非常广泛。在微观层面，公司建立严格，清晰的道德与专业行为标准能确保员工向客户提供规范而满意的投资服务，同时也能帮助员工正确处理工作中常遇见的道德困境（Ethical dilemmas）。在宏观层面，通过鼓励企业遵守行业道德与专业行为标准，有助于提高整个金融市场的诚信和有效运作。因此我们看到，不仅很多国家持续出台新的法律法规来完善金融市场，很多公司也建立起内部监管机制，比如防火墙（firewall, 也称Chinese wall</w:t>
      </w:r>
      <w:r>
        <w:rPr>
          <w:rFonts w:ascii="宋体" w:hAnsi="宋体" w:cs="Arial"/>
          <w:szCs w:val="21"/>
        </w:rPr>
        <w:t>）</w:t>
      </w:r>
      <w:r>
        <w:rPr>
          <w:rFonts w:hint="eastAsia" w:ascii="宋体" w:hAnsi="宋体" w:cs="Arial"/>
          <w:szCs w:val="21"/>
        </w:rPr>
        <w:t>，来规范员工专业行为和服务质量，从而提升企业信誉。</w:t>
      </w:r>
    </w:p>
    <w:p>
      <w:pPr>
        <w:ind w:firstLine="425" w:firstLineChars="177"/>
        <w:jc w:val="left"/>
        <w:rPr>
          <w:rFonts w:hint="eastAsia" w:ascii="宋体" w:hAnsi="宋体" w:cs="Arial"/>
          <w:szCs w:val="21"/>
        </w:rPr>
      </w:pPr>
    </w:p>
    <w:p>
      <w:pPr>
        <w:ind w:firstLine="425" w:firstLineChars="177"/>
        <w:jc w:val="left"/>
      </w:pPr>
      <w:r>
        <w:rPr>
          <w:rFonts w:hint="eastAsia" w:ascii="宋体" w:hAnsi="宋体" w:cs="Arial"/>
          <w:szCs w:val="21"/>
          <w:lang w:val="en-US" w:eastAsia="zh-CN"/>
        </w:rPr>
        <w:t>CFA一级职业伦理包括1个study session，共4个reading，分别是：</w:t>
      </w:r>
    </w:p>
    <w:p>
      <w:pPr>
        <w:numPr>
          <w:ilvl w:val="0"/>
          <w:numId w:val="1"/>
        </w:numPr>
        <w:tabs>
          <w:tab w:val="left" w:pos="426"/>
        </w:tabs>
        <w:ind w:left="-2" w:leftChars="-1" w:firstLine="428"/>
        <w:jc w:val="left"/>
      </w:pPr>
      <w:r>
        <w:rPr>
          <w:b/>
          <w:bCs/>
        </w:rPr>
        <w:t xml:space="preserve">Study session </w:t>
      </w:r>
      <w:r>
        <w:rPr>
          <w:rFonts w:hint="eastAsia"/>
          <w:b/>
          <w:bCs/>
          <w:lang w:val="en-US" w:eastAsia="zh-CN"/>
        </w:rPr>
        <w:t>1:</w:t>
      </w:r>
      <w:r>
        <w:rPr>
          <w:b/>
          <w:bCs/>
        </w:rPr>
        <w:t xml:space="preserve"> </w:t>
      </w:r>
      <w:r>
        <w:rPr>
          <w:rFonts w:hint="eastAsia"/>
          <w:b/>
          <w:bCs/>
          <w:lang w:val="en-US" w:eastAsia="zh-CN"/>
        </w:rPr>
        <w:t>Ethical and Professional Standards</w:t>
      </w:r>
      <w:r>
        <w:t xml:space="preserve"> </w:t>
      </w:r>
    </w:p>
    <w:p>
      <w:pPr>
        <w:numPr>
          <w:ilvl w:val="0"/>
          <w:numId w:val="2"/>
        </w:numPr>
        <w:tabs>
          <w:tab w:val="left" w:pos="993"/>
        </w:tabs>
        <w:ind w:left="0" w:firstLine="708" w:firstLineChars="295"/>
        <w:jc w:val="left"/>
      </w:pPr>
      <w:r>
        <w:t xml:space="preserve">Reading </w:t>
      </w:r>
      <w:r>
        <w:rPr>
          <w:rFonts w:hint="eastAsia"/>
          <w:lang w:val="en-US" w:eastAsia="zh-CN"/>
        </w:rPr>
        <w:t>1</w:t>
      </w:r>
      <w:r>
        <w:t xml:space="preserve">: </w:t>
      </w:r>
      <w:r>
        <w:rPr>
          <w:rFonts w:hint="eastAsia"/>
          <w:lang w:val="en-US" w:eastAsia="zh-CN"/>
        </w:rPr>
        <w:t>Code of Ethics and Standards of Professional Conduct</w:t>
      </w:r>
      <w:r>
        <w:rPr>
          <w:rFonts w:hint="eastAsia"/>
        </w:rPr>
        <w:t>（</w:t>
      </w:r>
      <w:r>
        <w:rPr>
          <w:rFonts w:hint="eastAsia"/>
          <w:lang w:eastAsia="zh-CN"/>
        </w:rPr>
        <w:t>道德规范与职业行为准则</w:t>
      </w:r>
      <w:r>
        <w:rPr>
          <w:rFonts w:hint="eastAsia"/>
        </w:rPr>
        <w:t>）</w:t>
      </w:r>
    </w:p>
    <w:p>
      <w:pPr>
        <w:numPr>
          <w:ilvl w:val="0"/>
          <w:numId w:val="2"/>
        </w:numPr>
        <w:tabs>
          <w:tab w:val="left" w:pos="993"/>
        </w:tabs>
        <w:ind w:left="0" w:firstLine="708" w:firstLineChars="295"/>
        <w:jc w:val="left"/>
      </w:pPr>
      <w:r>
        <w:t xml:space="preserve">Reading </w:t>
      </w:r>
      <w:r>
        <w:rPr>
          <w:rFonts w:hint="eastAsia"/>
          <w:lang w:val="en-US" w:eastAsia="zh-CN"/>
        </w:rPr>
        <w:t>2</w:t>
      </w:r>
      <w:r>
        <w:t xml:space="preserve">: </w:t>
      </w:r>
      <w:r>
        <w:rPr>
          <w:rFonts w:hint="eastAsia"/>
          <w:lang w:val="en-US" w:eastAsia="zh-CN"/>
        </w:rPr>
        <w:t>Guidance for Standards I-VII</w:t>
      </w:r>
      <w:r>
        <w:rPr>
          <w:rFonts w:hint="eastAsia"/>
        </w:rPr>
        <w:t>（</w:t>
      </w:r>
      <w:r>
        <w:rPr>
          <w:rFonts w:hint="eastAsia"/>
          <w:lang w:val="en-US" w:eastAsia="zh-CN"/>
        </w:rPr>
        <w:t>CFA职业行为准则指导</w:t>
      </w:r>
      <w:r>
        <w:rPr>
          <w:rFonts w:hint="eastAsia"/>
        </w:rPr>
        <w:t>）</w:t>
      </w:r>
    </w:p>
    <w:p>
      <w:pPr>
        <w:numPr>
          <w:ilvl w:val="0"/>
          <w:numId w:val="2"/>
        </w:numPr>
        <w:tabs>
          <w:tab w:val="left" w:pos="993"/>
        </w:tabs>
        <w:ind w:left="991" w:leftChars="295" w:hanging="283" w:hangingChars="118"/>
        <w:jc w:val="left"/>
      </w:pPr>
      <w:r>
        <w:t xml:space="preserve">Reading </w:t>
      </w:r>
      <w:r>
        <w:rPr>
          <w:rFonts w:hint="eastAsia"/>
          <w:lang w:val="en-US" w:eastAsia="zh-CN"/>
        </w:rPr>
        <w:t>3</w:t>
      </w:r>
      <w:r>
        <w:t xml:space="preserve">: </w:t>
      </w:r>
      <w:r>
        <w:rPr>
          <w:rFonts w:hint="eastAsia"/>
          <w:lang w:val="en-US" w:eastAsia="zh-CN"/>
        </w:rPr>
        <w:t>Introduction to the Global Investment Performance Standards (GIPS)（全球投资业绩标准介绍</w:t>
      </w:r>
      <w:r>
        <w:rPr>
          <w:rFonts w:hint="eastAsia"/>
        </w:rPr>
        <w:t>）</w:t>
      </w:r>
    </w:p>
    <w:p>
      <w:pPr>
        <w:numPr>
          <w:ilvl w:val="0"/>
          <w:numId w:val="2"/>
        </w:numPr>
        <w:tabs>
          <w:tab w:val="left" w:pos="993"/>
        </w:tabs>
        <w:ind w:left="0" w:firstLine="708" w:firstLineChars="295"/>
        <w:jc w:val="left"/>
      </w:pPr>
      <w:r>
        <w:t xml:space="preserve">Reading </w:t>
      </w:r>
      <w:r>
        <w:rPr>
          <w:rFonts w:hint="eastAsia"/>
          <w:lang w:val="en-US" w:eastAsia="zh-CN"/>
        </w:rPr>
        <w:t>4</w:t>
      </w:r>
      <w:r>
        <w:t xml:space="preserve">: </w:t>
      </w:r>
      <w:r>
        <w:rPr>
          <w:rFonts w:hint="eastAsia"/>
          <w:lang w:val="en-US" w:eastAsia="zh-CN"/>
        </w:rPr>
        <w:t>The GIPS Standards</w:t>
      </w:r>
      <w:r>
        <w:rPr>
          <w:rFonts w:hint="eastAsia"/>
        </w:rPr>
        <w:t>（</w:t>
      </w:r>
      <w:r>
        <w:rPr>
          <w:rFonts w:hint="eastAsia"/>
          <w:lang w:val="en-US" w:eastAsia="zh-CN"/>
        </w:rPr>
        <w:t>GIPS标准</w:t>
      </w:r>
      <w:r>
        <w:rPr>
          <w:rFonts w:hint="eastAsia"/>
        </w:rPr>
        <w:t>）</w:t>
      </w:r>
    </w:p>
    <w:p>
      <w:pPr>
        <w:ind w:firstLine="425" w:firstLineChars="177"/>
        <w:jc w:val="left"/>
        <w:rPr>
          <w:rFonts w:hint="eastAsia"/>
          <w:lang w:val="en-US" w:eastAsia="zh-CN"/>
        </w:rPr>
      </w:pPr>
    </w:p>
    <w:p>
      <w:pPr>
        <w:ind w:firstLine="425" w:firstLineChars="177"/>
        <w:jc w:val="left"/>
        <w:rPr>
          <w:rFonts w:hint="eastAsia" w:eastAsiaTheme="minorEastAsia"/>
          <w:lang w:val="en-US" w:eastAsia="zh-CN"/>
        </w:rPr>
      </w:pPr>
      <w:r>
        <w:rPr>
          <w:rFonts w:hint="eastAsia"/>
          <w:lang w:val="en-US" w:eastAsia="zh-CN"/>
        </w:rPr>
        <w:t>在CFA一级考试中，职业伦理会出36道题。Reading 1是CFA道德规范和职业行为准则的基本介绍，不是考试重点章节，通常会出1-2题。Reading 2是CFA七大职业行为准则的详细指导，重点帮助考生正确理解和运用CFA职业准则。每个准则包括若干相关细则，共22条。这是CFA考试的重点考核知识。通常会出30道题左右。因此，是否掌握好这部分知识，是成功通过考试的关键。Reading 3和reading 4是CFA全球投资业绩标准（GIPS），这两个章节的考核知识点较少，很多需要学生记忆，通常会出4道题左右。</w:t>
      </w:r>
    </w:p>
    <w:p>
      <w:pPr>
        <w:ind w:firstLine="425" w:firstLineChars="177"/>
        <w:jc w:val="left"/>
        <w:rPr>
          <w:rFonts w:hint="eastAsia"/>
        </w:rPr>
      </w:pPr>
    </w:p>
    <w:p>
      <w:pPr>
        <w:ind w:firstLine="425" w:firstLineChars="177"/>
        <w:jc w:val="left"/>
      </w:pPr>
      <w:r>
        <w:rPr>
          <w:rFonts w:hint="eastAsia"/>
        </w:rPr>
        <w:t>以下，对每个Reading的重要考点进行总结：</w:t>
      </w:r>
    </w:p>
    <w:p>
      <w:pPr>
        <w:numPr>
          <w:ilvl w:val="0"/>
          <w:numId w:val="1"/>
        </w:numPr>
        <w:tabs>
          <w:tab w:val="left" w:pos="426"/>
        </w:tabs>
        <w:ind w:left="-2" w:leftChars="-1" w:firstLine="428"/>
        <w:jc w:val="left"/>
        <w:rPr>
          <w:b/>
          <w:bCs/>
        </w:rPr>
      </w:pPr>
      <w:r>
        <w:rPr>
          <w:b/>
          <w:bCs/>
        </w:rPr>
        <w:t xml:space="preserve">Reading </w:t>
      </w:r>
      <w:r>
        <w:rPr>
          <w:rFonts w:hint="eastAsia"/>
          <w:b/>
          <w:bCs/>
          <w:lang w:val="en-US" w:eastAsia="zh-CN"/>
        </w:rPr>
        <w:t>1</w:t>
      </w:r>
      <w:r>
        <w:rPr>
          <w:b/>
          <w:bCs/>
        </w:rPr>
        <w:t xml:space="preserve">: </w:t>
      </w:r>
      <w:r>
        <w:rPr>
          <w:rFonts w:hint="eastAsia"/>
          <w:b/>
          <w:bCs/>
          <w:lang w:val="en-US" w:eastAsia="zh-CN"/>
        </w:rPr>
        <w:t>Code of Ethics and Standards of Professional Conduct</w:t>
      </w:r>
    </w:p>
    <w:p>
      <w:pPr>
        <w:numPr>
          <w:ilvl w:val="0"/>
          <w:numId w:val="2"/>
        </w:numPr>
        <w:tabs>
          <w:tab w:val="left" w:pos="993"/>
        </w:tabs>
        <w:ind w:left="0" w:firstLine="708" w:firstLineChars="295"/>
        <w:jc w:val="left"/>
      </w:pPr>
      <w:r>
        <w:rPr>
          <w:rFonts w:hint="eastAsia"/>
          <w:lang w:val="en-US" w:eastAsia="zh-CN"/>
        </w:rPr>
        <w:t>Structure of the CFA Institute Professional Conduct Program（CFA职业行为方案的治理结构）</w:t>
      </w:r>
    </w:p>
    <w:p>
      <w:pPr>
        <w:numPr>
          <w:ilvl w:val="0"/>
          <w:numId w:val="2"/>
        </w:numPr>
        <w:tabs>
          <w:tab w:val="left" w:pos="993"/>
        </w:tabs>
        <w:ind w:left="0" w:firstLine="708" w:firstLineChars="295"/>
        <w:jc w:val="left"/>
        <w:rPr>
          <w:lang w:val="en-US"/>
        </w:rPr>
      </w:pPr>
      <w:r>
        <w:rPr>
          <w:rFonts w:hint="eastAsia"/>
          <w:lang w:val="en-US" w:eastAsia="zh-CN"/>
        </w:rPr>
        <w:t>The enforcement of the Code and Standards（职业准则的执行）</w:t>
      </w:r>
    </w:p>
    <w:p>
      <w:pPr>
        <w:numPr>
          <w:ilvl w:val="0"/>
          <w:numId w:val="3"/>
        </w:numPr>
        <w:tabs>
          <w:tab w:val="left" w:pos="420"/>
          <w:tab w:val="left" w:pos="993"/>
        </w:tabs>
        <w:ind w:left="840" w:leftChars="0" w:hanging="420" w:firstLineChars="0"/>
        <w:jc w:val="left"/>
        <w:rPr>
          <w:b/>
          <w:bCs/>
          <w:lang w:val="en-US"/>
        </w:rPr>
      </w:pPr>
      <w:r>
        <w:rPr>
          <w:rFonts w:hint="eastAsia"/>
          <w:b/>
          <w:bCs/>
          <w:lang w:val="en-US" w:eastAsia="zh-CN"/>
        </w:rPr>
        <w:t>Reading 2:Guidance for Standards I-VII</w:t>
      </w:r>
    </w:p>
    <w:p>
      <w:pPr>
        <w:numPr>
          <w:ilvl w:val="0"/>
          <w:numId w:val="2"/>
        </w:numPr>
        <w:tabs>
          <w:tab w:val="left" w:pos="993"/>
        </w:tabs>
        <w:ind w:left="0" w:firstLine="708" w:firstLineChars="295"/>
        <w:jc w:val="left"/>
        <w:rPr>
          <w:lang w:val="en-US"/>
        </w:rPr>
      </w:pPr>
      <w:r>
        <w:rPr>
          <w:rFonts w:hint="eastAsia"/>
          <w:lang w:val="en-US" w:eastAsia="zh-CN"/>
        </w:rPr>
        <w:t>正确运用CFA职业行为准则</w:t>
      </w:r>
    </w:p>
    <w:p>
      <w:pPr>
        <w:numPr>
          <w:ilvl w:val="0"/>
          <w:numId w:val="2"/>
        </w:numPr>
        <w:tabs>
          <w:tab w:val="left" w:pos="993"/>
        </w:tabs>
        <w:ind w:left="0" w:firstLine="708" w:firstLineChars="295"/>
        <w:jc w:val="left"/>
        <w:rPr>
          <w:lang w:val="en-US"/>
        </w:rPr>
      </w:pPr>
      <w:r>
        <w:rPr>
          <w:rFonts w:hint="eastAsia"/>
          <w:lang w:val="en-US" w:eastAsia="zh-CN"/>
        </w:rPr>
        <w:t>区别遵守和违反职业准则的行为</w:t>
      </w:r>
    </w:p>
    <w:p>
      <w:pPr>
        <w:numPr>
          <w:ilvl w:val="0"/>
          <w:numId w:val="2"/>
        </w:numPr>
        <w:tabs>
          <w:tab w:val="left" w:pos="993"/>
        </w:tabs>
        <w:ind w:left="0" w:firstLine="708" w:firstLineChars="295"/>
        <w:jc w:val="left"/>
        <w:rPr>
          <w:lang w:val="en-US"/>
        </w:rPr>
      </w:pPr>
      <w:r>
        <w:rPr>
          <w:rFonts w:hint="eastAsia"/>
          <w:lang w:val="en-US" w:eastAsia="zh-CN"/>
        </w:rPr>
        <w:t>推荐能避免违反职业准则的做法或程序</w:t>
      </w:r>
    </w:p>
    <w:p>
      <w:pPr>
        <w:numPr>
          <w:ilvl w:val="0"/>
          <w:numId w:val="4"/>
        </w:numPr>
        <w:tabs>
          <w:tab w:val="left" w:pos="420"/>
          <w:tab w:val="left" w:pos="993"/>
        </w:tabs>
        <w:ind w:left="840" w:leftChars="0" w:hanging="420" w:firstLineChars="0"/>
        <w:jc w:val="left"/>
        <w:rPr>
          <w:b/>
          <w:bCs/>
          <w:lang w:val="en-US"/>
        </w:rPr>
      </w:pPr>
      <w:r>
        <w:rPr>
          <w:rFonts w:hint="eastAsia"/>
          <w:b/>
          <w:bCs/>
          <w:lang w:val="en-US" w:eastAsia="zh-CN"/>
        </w:rPr>
        <w:t>Reading 3: Introduction to the Global Investment Performance Standards (GIPS)</w:t>
      </w:r>
    </w:p>
    <w:p>
      <w:pPr>
        <w:numPr>
          <w:ilvl w:val="0"/>
          <w:numId w:val="2"/>
        </w:numPr>
        <w:tabs>
          <w:tab w:val="left" w:pos="993"/>
        </w:tabs>
        <w:ind w:left="0" w:firstLine="708" w:firstLineChars="295"/>
        <w:jc w:val="left"/>
        <w:rPr>
          <w:lang w:val="en-US"/>
        </w:rPr>
      </w:pPr>
      <w:r>
        <w:rPr>
          <w:rFonts w:hint="eastAsia"/>
          <w:lang w:val="en-US" w:eastAsia="zh-CN"/>
        </w:rPr>
        <w:t>创建GIPS标准的目的</w:t>
      </w:r>
    </w:p>
    <w:p>
      <w:pPr>
        <w:numPr>
          <w:ilvl w:val="0"/>
          <w:numId w:val="2"/>
        </w:numPr>
        <w:tabs>
          <w:tab w:val="left" w:pos="993"/>
        </w:tabs>
        <w:ind w:left="0" w:firstLine="708" w:firstLineChars="295"/>
        <w:jc w:val="left"/>
        <w:rPr>
          <w:lang w:val="en-US"/>
        </w:rPr>
      </w:pPr>
      <w:r>
        <w:rPr>
          <w:rFonts w:hint="eastAsia"/>
          <w:lang w:val="en-US" w:eastAsia="zh-CN"/>
        </w:rPr>
        <w:t>能够采纳GIPS标准的企业类型</w:t>
      </w:r>
    </w:p>
    <w:p>
      <w:pPr>
        <w:numPr>
          <w:ilvl w:val="0"/>
          <w:numId w:val="2"/>
        </w:numPr>
        <w:tabs>
          <w:tab w:val="left" w:pos="993"/>
        </w:tabs>
        <w:ind w:left="0" w:firstLine="708" w:firstLineChars="295"/>
        <w:jc w:val="left"/>
        <w:rPr>
          <w:lang w:val="en-US"/>
        </w:rPr>
      </w:pPr>
      <w:r>
        <w:rPr>
          <w:rFonts w:hint="eastAsia"/>
          <w:lang w:val="en-US" w:eastAsia="zh-CN"/>
        </w:rPr>
        <w:t>构建composite的原因和条件</w:t>
      </w:r>
    </w:p>
    <w:p>
      <w:pPr>
        <w:numPr>
          <w:ilvl w:val="0"/>
          <w:numId w:val="2"/>
        </w:numPr>
        <w:tabs>
          <w:tab w:val="left" w:pos="993"/>
        </w:tabs>
        <w:ind w:left="0" w:firstLine="708" w:firstLineChars="295"/>
        <w:jc w:val="left"/>
        <w:rPr>
          <w:lang w:val="en-US"/>
        </w:rPr>
      </w:pPr>
      <w:r>
        <w:rPr>
          <w:rFonts w:hint="eastAsia"/>
          <w:lang w:val="en-US" w:eastAsia="zh-CN"/>
        </w:rPr>
        <w:t>认证verification的条件</w:t>
      </w:r>
    </w:p>
    <w:p>
      <w:pPr>
        <w:numPr>
          <w:ilvl w:val="0"/>
          <w:numId w:val="5"/>
        </w:numPr>
        <w:tabs>
          <w:tab w:val="left" w:pos="420"/>
          <w:tab w:val="left" w:pos="993"/>
        </w:tabs>
        <w:ind w:left="840" w:leftChars="0" w:hanging="420" w:firstLineChars="0"/>
        <w:jc w:val="left"/>
        <w:rPr>
          <w:b/>
          <w:bCs/>
          <w:lang w:val="en-US"/>
        </w:rPr>
      </w:pPr>
      <w:r>
        <w:rPr>
          <w:rFonts w:hint="eastAsia"/>
          <w:b/>
          <w:bCs/>
          <w:lang w:val="en-US" w:eastAsia="zh-CN"/>
        </w:rPr>
        <w:t>Reading 4:The GIPS Standards</w:t>
      </w:r>
    </w:p>
    <w:p>
      <w:pPr>
        <w:numPr>
          <w:ilvl w:val="0"/>
          <w:numId w:val="2"/>
        </w:numPr>
        <w:tabs>
          <w:tab w:val="left" w:pos="993"/>
        </w:tabs>
        <w:ind w:left="0" w:firstLine="708" w:firstLineChars="295"/>
        <w:jc w:val="left"/>
        <w:rPr>
          <w:lang w:val="en-US"/>
        </w:rPr>
      </w:pPr>
      <w:r>
        <w:rPr>
          <w:rFonts w:hint="eastAsia"/>
          <w:lang w:val="en-US" w:eastAsia="zh-CN"/>
        </w:rPr>
        <w:t>GIPS的关键特征</w:t>
      </w:r>
    </w:p>
    <w:p>
      <w:pPr>
        <w:numPr>
          <w:ilvl w:val="0"/>
          <w:numId w:val="2"/>
        </w:numPr>
        <w:tabs>
          <w:tab w:val="left" w:pos="993"/>
        </w:tabs>
        <w:ind w:left="0" w:firstLine="708" w:firstLineChars="295"/>
        <w:jc w:val="left"/>
        <w:rPr>
          <w:lang w:val="en-US"/>
        </w:rPr>
      </w:pPr>
      <w:r>
        <w:rPr>
          <w:rFonts w:hint="eastAsia"/>
          <w:lang w:val="en-US" w:eastAsia="zh-CN"/>
        </w:rPr>
        <w:t>如何在国家执行GIPS标准</w:t>
      </w:r>
    </w:p>
    <w:p>
      <w:pPr>
        <w:numPr>
          <w:ilvl w:val="0"/>
          <w:numId w:val="2"/>
        </w:numPr>
        <w:tabs>
          <w:tab w:val="left" w:pos="993"/>
        </w:tabs>
        <w:ind w:left="0" w:firstLine="708" w:firstLineChars="295"/>
        <w:jc w:val="left"/>
        <w:rPr>
          <w:rFonts w:hint="eastAsia" w:eastAsiaTheme="minorEastAsia"/>
          <w:lang w:val="en-US" w:eastAsia="zh-CN"/>
        </w:rPr>
      </w:pPr>
      <w:r>
        <w:rPr>
          <w:rFonts w:hint="eastAsia"/>
          <w:lang w:val="en-US" w:eastAsia="zh-CN"/>
        </w:rPr>
        <w:t xml:space="preserve">GIPS的九大section                                                                                                                                                              </w:t>
      </w:r>
    </w:p>
    <w:p>
      <w:pPr>
        <w:ind w:firstLine="425" w:firstLineChars="177"/>
        <w:jc w:val="left"/>
        <w:rPr>
          <w:rFonts w:hint="eastAsia" w:ascii="宋体" w:hAnsi="宋体" w:cs="Arial"/>
          <w:b w:val="0"/>
          <w:bCs/>
          <w:szCs w:val="21"/>
        </w:rPr>
      </w:pPr>
    </w:p>
    <w:p>
      <w:pPr>
        <w:ind w:firstLine="425" w:firstLineChars="177"/>
        <w:jc w:val="left"/>
      </w:pPr>
      <w:r>
        <w:rPr>
          <w:rFonts w:hint="eastAsia" w:ascii="宋体" w:hAnsi="宋体" w:cs="Arial"/>
          <w:b w:val="0"/>
          <w:bCs/>
          <w:szCs w:val="21"/>
        </w:rPr>
        <w:t>在CFA职业伦理中，每条行为准则以及下面相应的若干细则之间存在着很强的关联性。</w:t>
      </w:r>
      <w:r>
        <w:rPr>
          <w:rFonts w:hint="eastAsia" w:ascii="宋体" w:hAnsi="宋体" w:cs="Arial"/>
          <w:szCs w:val="21"/>
        </w:rPr>
        <w:t>这意味着违反一条</w:t>
      </w:r>
      <w:r>
        <w:rPr>
          <w:rFonts w:hint="eastAsia" w:ascii="宋体" w:hAnsi="宋体" w:cs="Arial"/>
          <w:szCs w:val="21"/>
          <w:lang w:eastAsia="zh-CN"/>
        </w:rPr>
        <w:t>细</w:t>
      </w:r>
      <w:r>
        <w:rPr>
          <w:rFonts w:hint="eastAsia" w:ascii="宋体" w:hAnsi="宋体" w:cs="Arial"/>
          <w:szCs w:val="21"/>
        </w:rPr>
        <w:t>则，很有可能也违反另外一条或多条</w:t>
      </w:r>
      <w:r>
        <w:rPr>
          <w:rFonts w:hint="eastAsia" w:ascii="宋体" w:hAnsi="宋体" w:cs="Arial"/>
          <w:szCs w:val="21"/>
          <w:lang w:eastAsia="zh-CN"/>
        </w:rPr>
        <w:t>细</w:t>
      </w:r>
      <w:r>
        <w:rPr>
          <w:rFonts w:hint="eastAsia" w:ascii="宋体" w:hAnsi="宋体" w:cs="Arial"/>
          <w:szCs w:val="21"/>
        </w:rPr>
        <w:t>则。这增加了</w:t>
      </w:r>
      <w:r>
        <w:rPr>
          <w:rFonts w:hint="eastAsia" w:ascii="宋体" w:hAnsi="宋体" w:cs="Arial"/>
          <w:szCs w:val="21"/>
          <w:lang w:eastAsia="zh-CN"/>
        </w:rPr>
        <w:t>考试</w:t>
      </w:r>
      <w:r>
        <w:rPr>
          <w:rFonts w:hint="eastAsia" w:ascii="宋体" w:hAnsi="宋体" w:cs="Arial"/>
          <w:szCs w:val="21"/>
        </w:rPr>
        <w:t>难度。</w:t>
      </w:r>
      <w:r>
        <w:rPr>
          <w:rFonts w:hint="eastAsia" w:ascii="宋体" w:hAnsi="宋体" w:cs="Arial"/>
          <w:szCs w:val="21"/>
          <w:lang w:eastAsia="zh-CN"/>
        </w:rPr>
        <w:t>做题时</w:t>
      </w:r>
      <w:r>
        <w:rPr>
          <w:rFonts w:hint="eastAsia" w:ascii="宋体" w:hAnsi="宋体" w:cs="Arial"/>
          <w:i w:val="0"/>
          <w:iCs/>
          <w:szCs w:val="21"/>
        </w:rPr>
        <w:t>，考生经常会发现自己陷入这样的困境：尽管已经读了几遍题目，却发现每个选项似乎都有道理，都正确。</w:t>
      </w:r>
      <w:r>
        <w:rPr>
          <w:rFonts w:hint="eastAsia" w:ascii="宋体" w:hAnsi="宋体" w:cs="Arial"/>
          <w:szCs w:val="21"/>
        </w:rPr>
        <w:t>如果出现这样的情况</w:t>
      </w:r>
      <w:bookmarkStart w:id="0" w:name="_GoBack"/>
      <w:bookmarkEnd w:id="0"/>
      <w:r>
        <w:rPr>
          <w:rFonts w:hint="eastAsia" w:ascii="宋体" w:hAnsi="宋体" w:cs="Arial"/>
          <w:szCs w:val="21"/>
        </w:rPr>
        <w:t>，考生要问自己两个问题。第一个问题：我是否熟悉每条</w:t>
      </w:r>
      <w:r>
        <w:rPr>
          <w:rFonts w:hint="eastAsia" w:ascii="宋体" w:hAnsi="宋体" w:cs="Arial"/>
          <w:szCs w:val="21"/>
          <w:lang w:eastAsia="zh-CN"/>
        </w:rPr>
        <w:t>细</w:t>
      </w:r>
      <w:r>
        <w:rPr>
          <w:rFonts w:hint="eastAsia" w:ascii="宋体" w:hAnsi="宋体" w:cs="Arial"/>
          <w:szCs w:val="21"/>
        </w:rPr>
        <w:t>则？第二个问题：我是否读懂了案例？其实，CFA道德与标准的</w:t>
      </w:r>
      <w:r>
        <w:rPr>
          <w:rFonts w:hint="eastAsia" w:ascii="宋体" w:hAnsi="宋体" w:cs="Arial"/>
          <w:szCs w:val="21"/>
          <w:lang w:eastAsia="zh-CN"/>
        </w:rPr>
        <w:t>题目</w:t>
      </w:r>
      <w:r>
        <w:rPr>
          <w:rFonts w:hint="eastAsia" w:ascii="宋体" w:hAnsi="宋体" w:cs="Arial"/>
          <w:szCs w:val="21"/>
        </w:rPr>
        <w:t>都有很强的针对性。</w:t>
      </w:r>
      <w:r>
        <w:rPr>
          <w:rFonts w:hint="eastAsia" w:ascii="宋体" w:hAnsi="宋体" w:cs="Arial"/>
          <w:szCs w:val="21"/>
          <w:lang w:eastAsia="zh-CN"/>
        </w:rPr>
        <w:t>题干</w:t>
      </w:r>
      <w:r>
        <w:rPr>
          <w:rFonts w:hint="eastAsia" w:ascii="宋体" w:hAnsi="宋体" w:cs="Arial"/>
          <w:b w:val="0"/>
          <w:bCs/>
          <w:szCs w:val="21"/>
        </w:rPr>
        <w:t>中往往分布着一个或多个“关键词”（key words</w:t>
      </w:r>
      <w:r>
        <w:rPr>
          <w:rFonts w:hint="eastAsia" w:ascii="宋体" w:hAnsi="宋体" w:cs="Arial"/>
          <w:b w:val="0"/>
          <w:bCs/>
          <w:szCs w:val="21"/>
          <w:lang w:eastAsia="zh-CN"/>
        </w:rPr>
        <w:t>），</w:t>
      </w:r>
      <w:r>
        <w:rPr>
          <w:rFonts w:hint="eastAsia" w:ascii="宋体" w:hAnsi="宋体" w:cs="Arial"/>
          <w:szCs w:val="21"/>
        </w:rPr>
        <w:t>抓住这些关键词，有助于大家做出正确的选择。</w:t>
      </w:r>
    </w:p>
    <w:sectPr>
      <w:headerReference r:id="rId3" w:type="default"/>
      <w:footerReference r:id="rId4"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Arial Unicode MS">
    <w:panose1 w:val="020B0604020202020204"/>
    <w:charset w:val="86"/>
    <w:family w:val="decorative"/>
    <w:pitch w:val="default"/>
    <w:sig w:usb0="FFFFFFFF" w:usb1="E9FFFFFF" w:usb2="0000003F" w:usb3="00000000" w:csb0="603F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pPr>
    <w:sdt>
      <w:sdtPr>
        <w:rPr>
          <w:kern w:val="0"/>
        </w:rPr>
        <w:alias w:val="公司"/>
        <w:id w:val="76161118"/>
        <w:placeholder>
          <w:docPart w:val="096CBB6B253040F88CEB0213ED244861"/>
        </w:placeholder>
        <w15:dataBinding w:prefixMappings="xmlns:ns0='http://schemas.openxmlformats.org/officeDocument/2006/extended-properties'" w:xpath="/ns0:Properties[1]/ns0:Company[1]" w:storeItemID="{6668398D-A668-4E3E-A5EB-62B293D839F1}"/>
        <w:text/>
      </w:sdtPr>
      <w:sdtEndPr>
        <w:rPr>
          <w:kern w:val="0"/>
        </w:rPr>
      </w:sdtEndPr>
      <w:sdtContent>
        <w:r>
          <w:rPr>
            <w:rFonts w:hint="eastAsia"/>
            <w:kern w:val="0"/>
          </w:rPr>
          <w:t>咨询：400-600-8011  邮箱：cfa@gaodun.cn  网站：finance.gaodun.cn</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ind w:left="-994" w:leftChars="-414"/>
      <w:jc w:val="left"/>
    </w:pPr>
    <w:r>
      <w:pict>
        <v:shape id="_x0000_s13313" o:spid="_x0000_s13313" o:spt="202" type="#_x0000_t202" style="position:absolute;left:0pt;margin-left:275.25pt;margin-top:-3.55pt;height:40.5pt;width:173.4pt;z-index:251658240;mso-width-relative:margin;mso-height-relative:margin;" filled="f" stroked="f" coordsize="21600,21600">
          <v:path/>
          <v:fill on="f" focussize="0,0"/>
          <v:stroke on="f" color="#FFFFFF [3212]" joinstyle="miter"/>
          <v:imagedata o:title=""/>
          <o:lock v:ext="edit"/>
          <v:textbox>
            <w:txbxContent>
              <w:p>
                <w:pPr>
                  <w:jc w:val="center"/>
                </w:pPr>
                <w:r>
                  <w:rPr>
                    <w:rFonts w:hint="eastAsia" w:ascii="黑体" w:eastAsia="黑体"/>
                  </w:rPr>
                  <w:t>全球财经教育领导品牌</w:t>
                </w:r>
                <w:r>
                  <w:br w:type="textWrapping"/>
                </w:r>
                <w:r>
                  <w:rPr>
                    <w:rFonts w:ascii="Arial Unicode MS" w:hAnsi="Arial Unicode MS" w:eastAsia="Arial Unicode MS" w:cs="Arial Unicode MS"/>
                  </w:rPr>
                  <w:t>http://</w:t>
                </w:r>
                <w:r>
                  <w:rPr>
                    <w:rFonts w:hint="eastAsia" w:ascii="Arial Unicode MS" w:hAnsi="Arial Unicode MS" w:eastAsia="Arial Unicode MS" w:cs="Arial Unicode MS"/>
                  </w:rPr>
                  <w:t>finance</w:t>
                </w:r>
                <w:r>
                  <w:rPr>
                    <w:rFonts w:ascii="Arial Unicode MS" w:hAnsi="Arial Unicode MS" w:eastAsia="Arial Unicode MS" w:cs="Arial Unicode MS"/>
                  </w:rPr>
                  <w:t>.gaodun.cn</w:t>
                </w:r>
              </w:p>
            </w:txbxContent>
          </v:textbox>
        </v:shape>
      </w:pict>
    </w:r>
    <w:r>
      <w:drawing>
        <wp:inline distT="0" distB="0" distL="0" distR="0">
          <wp:extent cx="3510280" cy="485140"/>
          <wp:effectExtent l="0" t="0" r="0" b="0"/>
          <wp:docPr id="2" name="图片 1" descr="cf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fa-logo.png"/>
                  <pic:cNvPicPr>
                    <a:picLocks noChangeAspect="1"/>
                  </pic:cNvPicPr>
                </pic:nvPicPr>
                <pic:blipFill>
                  <a:blip r:embed="rId1"/>
                  <a:stretch>
                    <a:fillRect/>
                  </a:stretch>
                </pic:blipFill>
                <pic:spPr>
                  <a:xfrm>
                    <a:off x="0" y="0"/>
                    <a:ext cx="3531365" cy="488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45135596">
    <w:nsid w:val="502D23EC"/>
    <w:multiLevelType w:val="multilevel"/>
    <w:tmpl w:val="502D23EC"/>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511943050">
    <w:nsid w:val="5A1E6B8A"/>
    <w:multiLevelType w:val="multilevel"/>
    <w:tmpl w:val="5A1E6B8A"/>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1456207899">
    <w:nsid w:val="56CBF81B"/>
    <w:multiLevelType w:val="singleLevel"/>
    <w:tmpl w:val="56CBF81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6207433">
    <w:nsid w:val="56CBF649"/>
    <w:multiLevelType w:val="singleLevel"/>
    <w:tmpl w:val="56CBF64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6207222">
    <w:nsid w:val="56CBF576"/>
    <w:multiLevelType w:val="singleLevel"/>
    <w:tmpl w:val="56CBF57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345135596"/>
  </w:num>
  <w:num w:numId="2">
    <w:abstractNumId w:val="1511943050"/>
  </w:num>
  <w:num w:numId="3">
    <w:abstractNumId w:val="1456207222"/>
  </w:num>
  <w:num w:numId="4">
    <w:abstractNumId w:val="1456207433"/>
  </w:num>
  <w:num w:numId="5">
    <w:abstractNumId w:val="14562078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74329"/>
    <w:rsid w:val="00021087"/>
    <w:rsid w:val="0007726C"/>
    <w:rsid w:val="00147996"/>
    <w:rsid w:val="001C1266"/>
    <w:rsid w:val="001C70F5"/>
    <w:rsid w:val="001D7DD5"/>
    <w:rsid w:val="001E0802"/>
    <w:rsid w:val="00211395"/>
    <w:rsid w:val="00231181"/>
    <w:rsid w:val="00252F93"/>
    <w:rsid w:val="00301196"/>
    <w:rsid w:val="003148BE"/>
    <w:rsid w:val="003A2BC5"/>
    <w:rsid w:val="003B592F"/>
    <w:rsid w:val="003B5A1C"/>
    <w:rsid w:val="003C6EDC"/>
    <w:rsid w:val="004137A8"/>
    <w:rsid w:val="00415F1E"/>
    <w:rsid w:val="0045708D"/>
    <w:rsid w:val="004A660E"/>
    <w:rsid w:val="004A76AF"/>
    <w:rsid w:val="004B398C"/>
    <w:rsid w:val="00547703"/>
    <w:rsid w:val="005514D3"/>
    <w:rsid w:val="00561912"/>
    <w:rsid w:val="005831CE"/>
    <w:rsid w:val="005D5C1F"/>
    <w:rsid w:val="00655924"/>
    <w:rsid w:val="00684E6B"/>
    <w:rsid w:val="00690707"/>
    <w:rsid w:val="006A5818"/>
    <w:rsid w:val="006C6D96"/>
    <w:rsid w:val="007150C7"/>
    <w:rsid w:val="00754F63"/>
    <w:rsid w:val="007B47DC"/>
    <w:rsid w:val="00817D79"/>
    <w:rsid w:val="00824D42"/>
    <w:rsid w:val="008513C8"/>
    <w:rsid w:val="00874329"/>
    <w:rsid w:val="008A107B"/>
    <w:rsid w:val="008E3406"/>
    <w:rsid w:val="008E54AF"/>
    <w:rsid w:val="008F24B7"/>
    <w:rsid w:val="009007F1"/>
    <w:rsid w:val="00931A5B"/>
    <w:rsid w:val="009459C7"/>
    <w:rsid w:val="00946DA7"/>
    <w:rsid w:val="009A4250"/>
    <w:rsid w:val="009B26FF"/>
    <w:rsid w:val="00A237D2"/>
    <w:rsid w:val="00A33701"/>
    <w:rsid w:val="00A76F4F"/>
    <w:rsid w:val="00AC14B0"/>
    <w:rsid w:val="00AF6D09"/>
    <w:rsid w:val="00B557C9"/>
    <w:rsid w:val="00B73B6C"/>
    <w:rsid w:val="00BB30FE"/>
    <w:rsid w:val="00BB7946"/>
    <w:rsid w:val="00BE262F"/>
    <w:rsid w:val="00BF5274"/>
    <w:rsid w:val="00C5040E"/>
    <w:rsid w:val="00C70EE5"/>
    <w:rsid w:val="00CB2262"/>
    <w:rsid w:val="00D3702F"/>
    <w:rsid w:val="00DA668A"/>
    <w:rsid w:val="00DB496D"/>
    <w:rsid w:val="00DC1BA2"/>
    <w:rsid w:val="00DC6A8D"/>
    <w:rsid w:val="00E06B6D"/>
    <w:rsid w:val="00E30527"/>
    <w:rsid w:val="00E54552"/>
    <w:rsid w:val="00E86BE2"/>
    <w:rsid w:val="00EA5023"/>
    <w:rsid w:val="00F03D0A"/>
    <w:rsid w:val="00F15B9F"/>
    <w:rsid w:val="00F55300"/>
    <w:rsid w:val="00F82D15"/>
    <w:rsid w:val="00FB1346"/>
    <w:rsid w:val="00FD4F58"/>
    <w:rsid w:val="1FF70D0F"/>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firstLine="420" w:firstLineChars="200"/>
    </w:p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 w:type="character" w:customStyle="1" w:styleId="11">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6CBB6B253040F88CEB0213ED244861"/>
        <w:style w:val=""/>
        <w:category>
          <w:name w:val="常规"/>
          <w:gallery w:val="placeholder"/>
        </w:category>
        <w:types>
          <w:type w:val="bbPlcHdr"/>
        </w:types>
        <w:behaviors>
          <w:behavior w:val="content"/>
        </w:behaviors>
        <w:description w:val=""/>
        <w:guid w:val="{8001C213-7593-4E6D-B135-23F5024E3E12}"/>
      </w:docPartPr>
      <w:docPartBody>
        <w:p>
          <w:pPr>
            <w:pStyle w:val="6"/>
          </w:pPr>
          <w:r>
            <w:rPr>
              <w:color w:val="7E7E7E" w:themeColor="background1" w:themeShade="7F"/>
              <w:lang w:val="zh-CN"/>
            </w:rPr>
            <w:t>[键入公司名称]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Arial Unicode MS">
    <w:panose1 w:val="020B0604020202020204"/>
    <w:charset w:val="86"/>
    <w:family w:val="decorative"/>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53112"/>
    <w:rsid w:val="003123AE"/>
    <w:rsid w:val="00E5311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57BC088F528E443097476B996074894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9860675B12DA4A548248A5AE746E55E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096CBB6B253040F88CEB0213ED244861"/>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331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36627-1EB0-43C7-AD71-CD67C25B253F}">
  <ds:schemaRefs/>
</ds:datastoreItem>
</file>

<file path=docProps/app.xml><?xml version="1.0" encoding="utf-8"?>
<Properties xmlns="http://schemas.openxmlformats.org/officeDocument/2006/extended-properties" xmlns:vt="http://schemas.openxmlformats.org/officeDocument/2006/docPropsVTypes">
  <Template>Normal</Template>
  <Company>咨询：400-600-8011  邮箱：cfa@gaodun.cn  网站：finance.gaodun.cn</Company>
  <Pages>3</Pages>
  <Words>344</Words>
  <Characters>1965</Characters>
  <Lines>16</Lines>
  <Paragraphs>4</Paragraphs>
  <TotalTime>0</TotalTime>
  <ScaleCrop>false</ScaleCrop>
  <LinksUpToDate>false</LinksUpToDate>
  <CharactersWithSpaces>2305</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2015-04-01T07:57:00Z</dcterms:created>
  <dc:creator>杰 袁</dc:creator>
  <cp:lastModifiedBy>gaodun</cp:lastModifiedBy>
  <dcterms:modified xsi:type="dcterms:W3CDTF">2016-02-23T06:08:22Z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