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CFA一级</w:t>
      </w:r>
      <w:r>
        <w:rPr>
          <w:rFonts w:hint="eastAsia"/>
          <w:b/>
          <w:sz w:val="36"/>
          <w:szCs w:val="36"/>
          <w:lang w:eastAsia="zh-CN"/>
        </w:rPr>
        <w:t>备考精囊之</w:t>
      </w:r>
      <w:r>
        <w:rPr>
          <w:rFonts w:hint="eastAsia"/>
          <w:b/>
          <w:sz w:val="36"/>
          <w:szCs w:val="36"/>
          <w:lang w:val="en-US" w:eastAsia="zh-CN"/>
        </w:rPr>
        <w:t>：</w:t>
      </w:r>
      <w:r>
        <w:rPr>
          <w:rFonts w:hint="eastAsia"/>
          <w:b/>
          <w:sz w:val="36"/>
          <w:szCs w:val="36"/>
        </w:rPr>
        <w:t>Financial Reporting Analysis</w:t>
      </w:r>
    </w:p>
    <w:p>
      <w:pPr>
        <w:ind w:firstLine="425" w:firstLineChars="177"/>
        <w:jc w:val="left"/>
      </w:pPr>
      <w:r>
        <w:t>Financial Reporting Analysis</w:t>
      </w:r>
      <w:r>
        <w:rPr>
          <w:rFonts w:hint="eastAsia"/>
        </w:rPr>
        <w:t>（财务报表分析）</w:t>
      </w:r>
      <w:r>
        <w:rPr>
          <w:rFonts w:hint="eastAsia"/>
          <w:color w:val="0000FF"/>
        </w:rPr>
        <w:t>在</w:t>
      </w:r>
      <w:r>
        <w:rPr>
          <w:rFonts w:hint="eastAsia"/>
          <w:color w:val="0000FF"/>
          <w:lang w:val="en-US" w:eastAsia="zh-CN"/>
        </w:rPr>
        <w:t>CFA一级</w:t>
      </w:r>
      <w:r>
        <w:rPr>
          <w:rFonts w:hint="eastAsia"/>
        </w:rPr>
        <w:t>考试中占比为20%，是所有课程中权重最高的一门课，</w:t>
      </w:r>
      <w:r>
        <w:rPr>
          <w:rFonts w:hint="eastAsia"/>
          <w:color w:val="0000FF"/>
          <w:lang w:eastAsia="zh-CN"/>
        </w:rPr>
        <w:t>所以说，这部分的内容必须引起我们的高度重视，才能把最关键的得分握在手中。</w:t>
      </w:r>
      <w:r>
        <w:rPr>
          <w:rFonts w:hint="eastAsia"/>
        </w:rPr>
        <w:t>财报在整个CFA课程的知识体系下有着非常重要的作用，是许多课程基础和衍生。</w:t>
      </w:r>
      <w:r>
        <w:rPr>
          <w:rFonts w:hint="eastAsia"/>
          <w:lang w:eastAsia="zh-CN"/>
        </w:rPr>
        <w:t>高顿</w:t>
      </w:r>
      <w:r>
        <w:rPr>
          <w:rFonts w:hint="eastAsia"/>
          <w:lang w:val="en-US" w:eastAsia="zh-CN"/>
        </w:rPr>
        <w:t>CFA研究院</w:t>
      </w:r>
      <w:r>
        <w:rPr>
          <w:rFonts w:hint="eastAsia"/>
          <w:color w:val="0000FF"/>
          <w:lang w:eastAsia="zh-CN"/>
        </w:rPr>
        <w:t>提醒考生，</w:t>
      </w:r>
      <w:r>
        <w:rPr>
          <w:rFonts w:hint="eastAsia"/>
        </w:rPr>
        <w:t>一级财报的考查重点主要是对于基础财务报表和会计原理的理解，考得不深但是考查面非常广，要求</w:t>
      </w:r>
      <w:r>
        <w:rPr>
          <w:rFonts w:hint="eastAsia"/>
          <w:lang w:eastAsia="zh-CN"/>
        </w:rPr>
        <w:t>考生</w:t>
      </w:r>
      <w:r>
        <w:rPr>
          <w:rFonts w:hint="eastAsia"/>
        </w:rPr>
        <w:t>对于不同的会计知识点能做到清楚的辨析和理解。</w:t>
      </w:r>
    </w:p>
    <w:p>
      <w:pPr>
        <w:ind w:firstLine="425" w:firstLineChars="177"/>
        <w:jc w:val="left"/>
      </w:pPr>
      <w:r>
        <w:rPr>
          <w:rFonts w:hint="eastAsia"/>
        </w:rPr>
        <w:t>在实际金融行业的工作中，财务报表分析也是一项“安身立命”的技能，财务分析是所有基于基本面研究的必用手段。</w:t>
      </w:r>
      <w:r>
        <w:rPr>
          <w:rFonts w:hint="eastAsia"/>
          <w:lang w:eastAsia="zh-CN"/>
        </w:rPr>
        <w:t>高顿</w:t>
      </w:r>
      <w:r>
        <w:rPr>
          <w:rFonts w:hint="eastAsia"/>
          <w:lang w:val="en-US" w:eastAsia="zh-CN"/>
        </w:rPr>
        <w:t>CFA研究院</w:t>
      </w:r>
      <w:r>
        <w:rPr>
          <w:rFonts w:hint="eastAsia"/>
          <w:color w:val="auto"/>
          <w:lang w:val="en-US" w:eastAsia="zh-CN"/>
        </w:rPr>
        <w:t>有关专家表示</w:t>
      </w:r>
      <w:r>
        <w:rPr>
          <w:rFonts w:hint="eastAsia"/>
          <w:color w:val="0000FF"/>
          <w:lang w:val="en-US" w:eastAsia="zh-CN"/>
        </w:rPr>
        <w:t>，</w:t>
      </w:r>
      <w:r>
        <w:rPr>
          <w:rFonts w:hint="eastAsia"/>
        </w:rPr>
        <w:t>券商，投行，基金公司，信托公司以及其他开展资产管理业务的机构在进行人才储备时</w:t>
      </w:r>
      <w:r>
        <w:rPr>
          <w:rFonts w:hint="eastAsia"/>
          <w:lang w:eastAsia="zh-CN"/>
        </w:rPr>
        <w:t>，</w:t>
      </w:r>
      <w:r>
        <w:rPr>
          <w:rFonts w:hint="eastAsia"/>
        </w:rPr>
        <w:t>也都会有意识的留住财务功底扎实的分析师和研究员。</w:t>
      </w:r>
    </w:p>
    <w:p>
      <w:pPr>
        <w:ind w:firstLine="425" w:firstLineChars="177"/>
        <w:jc w:val="left"/>
      </w:pPr>
      <w:r>
        <w:rPr>
          <w:rFonts w:hint="eastAsia"/>
        </w:rPr>
        <w:t>CFA一级的</w:t>
      </w:r>
      <w:r>
        <w:t>Financial Reporting Analysis</w:t>
      </w:r>
      <w:r>
        <w:rPr>
          <w:rFonts w:hint="eastAsia"/>
        </w:rPr>
        <w:t xml:space="preserve">包括4个study </w:t>
      </w:r>
      <w:r>
        <w:t>session</w:t>
      </w:r>
      <w:r>
        <w:rPr>
          <w:rFonts w:hint="eastAsia"/>
        </w:rPr>
        <w:t>，一共13个reading，分别是：</w:t>
      </w:r>
    </w:p>
    <w:p>
      <w:pPr>
        <w:numPr>
          <w:ilvl w:val="0"/>
          <w:numId w:val="1"/>
        </w:numPr>
        <w:jc w:val="left"/>
      </w:pPr>
      <w:r>
        <w:rPr>
          <w:b/>
          <w:bCs/>
        </w:rPr>
        <w:t xml:space="preserve">Study session </w:t>
      </w:r>
      <w:r>
        <w:rPr>
          <w:rFonts w:hint="eastAsia"/>
          <w:b/>
          <w:bCs/>
        </w:rPr>
        <w:t>7</w:t>
      </w:r>
      <w:r>
        <w:rPr>
          <w:b/>
          <w:bCs/>
        </w:rPr>
        <w:t xml:space="preserve"> (FINANCIAL REPORTING AND ANALYSIS:An Introduction)</w:t>
      </w:r>
      <w:r>
        <w:t xml:space="preserve"> </w:t>
      </w:r>
    </w:p>
    <w:p>
      <w:pPr>
        <w:numPr>
          <w:ilvl w:val="0"/>
          <w:numId w:val="2"/>
        </w:numPr>
        <w:jc w:val="left"/>
      </w:pPr>
      <w:r>
        <w:t xml:space="preserve">Reading </w:t>
      </w:r>
      <w:r>
        <w:rPr>
          <w:rFonts w:hint="eastAsia"/>
        </w:rPr>
        <w:t>22</w:t>
      </w:r>
      <w:r>
        <w:t>: Financial Statement Analysis: An Introduction</w:t>
      </w:r>
      <w:r>
        <w:rPr>
          <w:rFonts w:hint="eastAsia"/>
        </w:rPr>
        <w:t>（财报导论）</w:t>
      </w:r>
    </w:p>
    <w:p>
      <w:pPr>
        <w:numPr>
          <w:ilvl w:val="0"/>
          <w:numId w:val="2"/>
        </w:numPr>
        <w:jc w:val="left"/>
      </w:pPr>
      <w:r>
        <w:t>Reading 23: Financial Reporting Mechanics</w:t>
      </w:r>
      <w:r>
        <w:rPr>
          <w:rFonts w:hint="eastAsia"/>
        </w:rPr>
        <w:t xml:space="preserve"> （财务报告机制）</w:t>
      </w:r>
    </w:p>
    <w:p>
      <w:pPr>
        <w:numPr>
          <w:ilvl w:val="0"/>
          <w:numId w:val="2"/>
        </w:numPr>
        <w:jc w:val="left"/>
      </w:pPr>
      <w:r>
        <w:t>Reading 24: Financial Reporting Standards</w:t>
      </w:r>
      <w:r>
        <w:rPr>
          <w:rFonts w:hint="eastAsia"/>
        </w:rPr>
        <w:t>（财务准则）</w:t>
      </w:r>
    </w:p>
    <w:p>
      <w:pPr>
        <w:numPr>
          <w:ilvl w:val="0"/>
          <w:numId w:val="1"/>
        </w:numPr>
        <w:jc w:val="left"/>
        <w:rPr>
          <w:b/>
          <w:bCs/>
        </w:rPr>
      </w:pPr>
      <w:r>
        <w:rPr>
          <w:b/>
          <w:bCs/>
        </w:rPr>
        <w:t xml:space="preserve">Study session </w:t>
      </w:r>
      <w:r>
        <w:rPr>
          <w:rFonts w:hint="eastAsia"/>
          <w:b/>
          <w:bCs/>
        </w:rPr>
        <w:t>8</w:t>
      </w:r>
      <w:r>
        <w:rPr>
          <w:b/>
          <w:bCs/>
        </w:rPr>
        <w:t xml:space="preserve"> (FINANCIAL REPORTING AND ANALYSIS:The Income Statement, Balance Sheet,and Cash Flow Statement) </w:t>
      </w:r>
    </w:p>
    <w:p>
      <w:pPr>
        <w:numPr>
          <w:ilvl w:val="0"/>
          <w:numId w:val="2"/>
        </w:numPr>
        <w:jc w:val="left"/>
      </w:pPr>
      <w:r>
        <w:t>Reading 25: Understanding Income Statements</w:t>
      </w:r>
      <w:r>
        <w:rPr>
          <w:rFonts w:hint="eastAsia"/>
        </w:rPr>
        <w:t xml:space="preserve"> （理解利润表）</w:t>
      </w:r>
    </w:p>
    <w:p>
      <w:pPr>
        <w:numPr>
          <w:ilvl w:val="0"/>
          <w:numId w:val="2"/>
        </w:numPr>
        <w:jc w:val="left"/>
      </w:pPr>
      <w:r>
        <w:t>Reading 26: Understanding Balance Sheets</w:t>
      </w:r>
      <w:r>
        <w:rPr>
          <w:rFonts w:hint="eastAsia"/>
        </w:rPr>
        <w:t xml:space="preserve"> （理解资产负债表）</w:t>
      </w:r>
    </w:p>
    <w:p>
      <w:pPr>
        <w:numPr>
          <w:ilvl w:val="0"/>
          <w:numId w:val="2"/>
        </w:numPr>
        <w:jc w:val="left"/>
      </w:pPr>
      <w:r>
        <w:t>Reading 27: Understanding Cash Flow Statements</w:t>
      </w:r>
      <w:r>
        <w:rPr>
          <w:rFonts w:hint="eastAsia"/>
        </w:rPr>
        <w:t xml:space="preserve"> （理解现金流量表）</w:t>
      </w:r>
    </w:p>
    <w:p>
      <w:pPr>
        <w:numPr>
          <w:ilvl w:val="0"/>
          <w:numId w:val="2"/>
        </w:numPr>
        <w:jc w:val="left"/>
        <w:rPr>
          <w:rFonts w:hint="eastAsia"/>
        </w:rPr>
      </w:pPr>
      <w:r>
        <w:t>Reading 28: Financial Analysis Techniques</w:t>
      </w:r>
      <w:r>
        <w:rPr>
          <w:rFonts w:hint="eastAsia"/>
        </w:rPr>
        <w:t xml:space="preserve"> （财务分析技术）</w:t>
      </w:r>
    </w:p>
    <w:p>
      <w:pPr>
        <w:numPr>
          <w:ilvl w:val="0"/>
          <w:numId w:val="1"/>
        </w:numPr>
        <w:jc w:val="left"/>
        <w:rPr>
          <w:b/>
          <w:bCs/>
        </w:rPr>
      </w:pPr>
      <w:r>
        <w:rPr>
          <w:b/>
          <w:bCs/>
        </w:rPr>
        <w:t xml:space="preserve">Study session </w:t>
      </w:r>
      <w:r>
        <w:rPr>
          <w:rFonts w:hint="eastAsia"/>
          <w:b/>
          <w:bCs/>
        </w:rPr>
        <w:t>9</w:t>
      </w:r>
      <w:r>
        <w:rPr>
          <w:b/>
          <w:bCs/>
        </w:rPr>
        <w:t xml:space="preserve"> (FINANCIAL REPORTING ANALYSIS:Inventories, Long-lived Assets, Income Taxes, and Non-current Liabilities) </w:t>
      </w:r>
    </w:p>
    <w:p>
      <w:pPr>
        <w:numPr>
          <w:ilvl w:val="0"/>
          <w:numId w:val="2"/>
        </w:numPr>
        <w:jc w:val="left"/>
      </w:pPr>
      <w:r>
        <w:t>Reading 29: Inventories</w:t>
      </w:r>
      <w:r>
        <w:rPr>
          <w:rFonts w:hint="eastAsia"/>
        </w:rPr>
        <w:t xml:space="preserve"> （存货分析）</w:t>
      </w:r>
    </w:p>
    <w:p>
      <w:pPr>
        <w:numPr>
          <w:ilvl w:val="0"/>
          <w:numId w:val="2"/>
        </w:numPr>
        <w:jc w:val="left"/>
      </w:pPr>
      <w:r>
        <w:t>Reading 30: Long-lived Assets</w:t>
      </w:r>
      <w:r>
        <w:rPr>
          <w:rFonts w:hint="eastAsia"/>
        </w:rPr>
        <w:t xml:space="preserve"> （长期资产分析）</w:t>
      </w:r>
    </w:p>
    <w:p>
      <w:pPr>
        <w:numPr>
          <w:ilvl w:val="0"/>
          <w:numId w:val="2"/>
        </w:numPr>
        <w:jc w:val="left"/>
      </w:pPr>
      <w:r>
        <w:t>Reading 31: Income Taxes</w:t>
      </w:r>
      <w:r>
        <w:rPr>
          <w:rFonts w:hint="eastAsia"/>
        </w:rPr>
        <w:t xml:space="preserve"> （所得税费用分析）</w:t>
      </w:r>
    </w:p>
    <w:p>
      <w:pPr>
        <w:numPr>
          <w:ilvl w:val="0"/>
          <w:numId w:val="2"/>
        </w:numPr>
        <w:jc w:val="left"/>
      </w:pPr>
      <w:r>
        <w:t>Reading 32: Non-current (Long-term) Liabilities</w:t>
      </w:r>
      <w:r>
        <w:rPr>
          <w:rFonts w:hint="eastAsia"/>
        </w:rPr>
        <w:t xml:space="preserve"> （长期负债分析）</w:t>
      </w:r>
    </w:p>
    <w:p>
      <w:pPr>
        <w:numPr>
          <w:ilvl w:val="0"/>
          <w:numId w:val="1"/>
        </w:numPr>
        <w:jc w:val="left"/>
        <w:rPr>
          <w:b/>
          <w:bCs/>
        </w:rPr>
      </w:pPr>
      <w:r>
        <w:rPr>
          <w:b/>
          <w:bCs/>
        </w:rPr>
        <w:t xml:space="preserve">Study session </w:t>
      </w:r>
      <w:r>
        <w:rPr>
          <w:rFonts w:hint="eastAsia"/>
          <w:b/>
          <w:bCs/>
        </w:rPr>
        <w:t>10</w:t>
      </w:r>
      <w:r>
        <w:rPr>
          <w:b/>
          <w:bCs/>
        </w:rPr>
        <w:t xml:space="preserve"> (FINANCIAL REPORTING AND ANALYSIS: Financial Reporting Quality and Financial Statement Analysis) </w:t>
      </w:r>
    </w:p>
    <w:p>
      <w:pPr>
        <w:numPr>
          <w:ilvl w:val="0"/>
          <w:numId w:val="2"/>
        </w:numPr>
        <w:jc w:val="left"/>
      </w:pPr>
      <w:r>
        <w:t>Reading 33: Financial Reporting Quality</w:t>
      </w:r>
      <w:r>
        <w:rPr>
          <w:rFonts w:hint="eastAsia"/>
        </w:rPr>
        <w:t xml:space="preserve"> （财务报告质量）</w:t>
      </w:r>
    </w:p>
    <w:p>
      <w:pPr>
        <w:numPr>
          <w:ilvl w:val="0"/>
          <w:numId w:val="2"/>
        </w:numPr>
        <w:jc w:val="left"/>
      </w:pPr>
      <w:r>
        <w:t>Reading 34: Financial Statement Analysis: Applications</w:t>
      </w:r>
      <w:r>
        <w:rPr>
          <w:rFonts w:hint="eastAsia"/>
        </w:rPr>
        <w:t xml:space="preserve"> （财报分析应用）</w:t>
      </w:r>
    </w:p>
    <w:p>
      <w:pPr>
        <w:ind w:left="720"/>
        <w:jc w:val="left"/>
        <w:rPr>
          <w:rFonts w:hint="eastAsia"/>
        </w:rPr>
      </w:pPr>
    </w:p>
    <w:p>
      <w:pPr>
        <w:ind w:left="720"/>
        <w:jc w:val="left"/>
        <w:rPr>
          <w:rFonts w:hint="eastAsia"/>
        </w:rPr>
      </w:pPr>
    </w:p>
    <w:p>
      <w:pPr>
        <w:ind w:firstLine="425" w:firstLineChars="177"/>
        <w:jc w:val="left"/>
      </w:pPr>
      <w:r>
        <w:rPr>
          <w:rFonts w:hint="eastAsia"/>
        </w:rPr>
        <w:t>CFA一级考试中财务报表分析共有4个Session，Session 7是导论，Session 8是对于三张报表的解读， session 9是对于一些复杂会计科目的介绍， Session 10是财报质量和应用。</w:t>
      </w:r>
    </w:p>
    <w:p>
      <w:pPr>
        <w:ind w:firstLine="425" w:firstLineChars="177"/>
        <w:jc w:val="left"/>
      </w:pPr>
      <w:r>
        <w:rPr>
          <w:rFonts w:hint="eastAsia"/>
          <w:lang w:eastAsia="zh-CN"/>
        </w:rPr>
        <w:t>高顿</w:t>
      </w:r>
      <w:r>
        <w:rPr>
          <w:rFonts w:hint="eastAsia"/>
          <w:lang w:val="en-US" w:eastAsia="zh-CN"/>
        </w:rPr>
        <w:t>CFA研究院</w:t>
      </w:r>
      <w:bookmarkStart w:id="0" w:name="_GoBack"/>
      <w:bookmarkEnd w:id="0"/>
      <w:r>
        <w:rPr>
          <w:rFonts w:hint="eastAsia"/>
          <w:color w:val="0000FF"/>
          <w:lang w:eastAsia="zh-CN"/>
        </w:rPr>
        <w:t>提醒大家，</w:t>
      </w:r>
      <w:r>
        <w:rPr>
          <w:rFonts w:hint="eastAsia"/>
        </w:rPr>
        <w:t>从考试的重要度来看，Session 8&amp;9是最重要的，占了绝大部分权重。</w:t>
      </w:r>
    </w:p>
    <w:p>
      <w:pPr>
        <w:ind w:firstLine="425" w:firstLineChars="177"/>
        <w:jc w:val="left"/>
      </w:pPr>
      <w:r>
        <w:rPr>
          <w:rFonts w:hint="eastAsia"/>
        </w:rPr>
        <w:t>以下</w:t>
      </w:r>
      <w:r>
        <w:rPr>
          <w:rFonts w:hint="eastAsia"/>
          <w:lang w:eastAsia="zh-CN"/>
        </w:rPr>
        <w:t>是</w:t>
      </w:r>
      <w:r>
        <w:rPr>
          <w:rFonts w:hint="eastAsia"/>
        </w:rPr>
        <w:t>每个Reading重要考点</w:t>
      </w:r>
      <w:r>
        <w:rPr>
          <w:rFonts w:hint="eastAsia"/>
          <w:lang w:eastAsia="zh-CN"/>
        </w:rPr>
        <w:t>的</w:t>
      </w:r>
      <w:r>
        <w:rPr>
          <w:rFonts w:hint="eastAsia"/>
        </w:rPr>
        <w:t>总结：</w:t>
      </w:r>
    </w:p>
    <w:p>
      <w:pPr>
        <w:numPr>
          <w:ilvl w:val="0"/>
          <w:numId w:val="1"/>
        </w:numPr>
        <w:jc w:val="left"/>
        <w:rPr>
          <w:b/>
          <w:bCs/>
        </w:rPr>
      </w:pPr>
      <w:r>
        <w:rPr>
          <w:b/>
          <w:bCs/>
        </w:rPr>
        <w:t>Reading 22: Financial Statement Analysis: An Introduction</w:t>
      </w:r>
    </w:p>
    <w:p>
      <w:pPr>
        <w:numPr>
          <w:ilvl w:val="0"/>
          <w:numId w:val="2"/>
        </w:numPr>
        <w:jc w:val="left"/>
      </w:pPr>
      <w:r>
        <w:rPr>
          <w:rFonts w:hint="eastAsia"/>
        </w:rPr>
        <w:t>财务报告和财报分析的区别，及主要目的；</w:t>
      </w:r>
    </w:p>
    <w:p>
      <w:pPr>
        <w:numPr>
          <w:ilvl w:val="0"/>
          <w:numId w:val="2"/>
        </w:numPr>
        <w:jc w:val="left"/>
      </w:pPr>
      <w:r>
        <w:rPr>
          <w:rFonts w:hint="eastAsia"/>
        </w:rPr>
        <w:t>理解footnotes以及MD&amp;A，知道它们的披露重点；</w:t>
      </w:r>
    </w:p>
    <w:p>
      <w:pPr>
        <w:numPr>
          <w:ilvl w:val="0"/>
          <w:numId w:val="2"/>
        </w:numPr>
        <w:jc w:val="left"/>
        <w:rPr>
          <w:rFonts w:hint="eastAsia"/>
        </w:rPr>
      </w:pPr>
      <w:r>
        <w:rPr>
          <w:rFonts w:hint="eastAsia"/>
        </w:rPr>
        <w:t>辨析4种审计意见。</w:t>
      </w:r>
    </w:p>
    <w:p>
      <w:pPr>
        <w:numPr>
          <w:ilvl w:val="0"/>
          <w:numId w:val="1"/>
        </w:numPr>
        <w:jc w:val="left"/>
        <w:rPr>
          <w:b/>
          <w:bCs/>
        </w:rPr>
      </w:pPr>
      <w:r>
        <w:rPr>
          <w:b/>
          <w:bCs/>
        </w:rPr>
        <w:t>Reading 23: Financial Reporting Mechanics</w:t>
      </w:r>
    </w:p>
    <w:p>
      <w:pPr>
        <w:numPr>
          <w:ilvl w:val="0"/>
          <w:numId w:val="2"/>
        </w:numPr>
        <w:jc w:val="left"/>
      </w:pPr>
      <w:r>
        <w:rPr>
          <w:rFonts w:hint="eastAsia"/>
        </w:rPr>
        <w:t>会计恒等式及其扩展形式的构成；</w:t>
      </w:r>
    </w:p>
    <w:p>
      <w:pPr>
        <w:numPr>
          <w:ilvl w:val="0"/>
          <w:numId w:val="2"/>
        </w:numPr>
        <w:jc w:val="left"/>
      </w:pPr>
      <w:r>
        <w:rPr>
          <w:rFonts w:hint="eastAsia"/>
        </w:rPr>
        <w:t>权责发生制和收付实现制的区别；</w:t>
      </w:r>
    </w:p>
    <w:p>
      <w:pPr>
        <w:numPr>
          <w:ilvl w:val="0"/>
          <w:numId w:val="2"/>
        </w:numPr>
        <w:jc w:val="left"/>
      </w:pPr>
      <w:r>
        <w:rPr>
          <w:rFonts w:hint="eastAsia"/>
        </w:rPr>
        <w:t>了解从日记账到最终报表的生成流程。</w:t>
      </w:r>
    </w:p>
    <w:p>
      <w:pPr>
        <w:numPr>
          <w:ilvl w:val="0"/>
          <w:numId w:val="1"/>
        </w:numPr>
        <w:jc w:val="left"/>
        <w:rPr>
          <w:b/>
          <w:bCs/>
        </w:rPr>
      </w:pPr>
      <w:r>
        <w:rPr>
          <w:b/>
          <w:bCs/>
        </w:rPr>
        <w:t>Reading 24: Financial Reporting Standards</w:t>
      </w:r>
    </w:p>
    <w:p>
      <w:pPr>
        <w:numPr>
          <w:ilvl w:val="0"/>
          <w:numId w:val="2"/>
        </w:numPr>
        <w:jc w:val="left"/>
      </w:pPr>
      <w:r>
        <w:rPr>
          <w:rFonts w:hint="eastAsia"/>
        </w:rPr>
        <w:t>了解美国准则和国际准则的制定主体；</w:t>
      </w:r>
    </w:p>
    <w:p>
      <w:pPr>
        <w:numPr>
          <w:ilvl w:val="0"/>
          <w:numId w:val="2"/>
        </w:numPr>
        <w:jc w:val="left"/>
        <w:rPr>
          <w:rFonts w:hint="eastAsia"/>
        </w:rPr>
      </w:pPr>
      <w:r>
        <w:rPr>
          <w:rFonts w:hint="eastAsia"/>
        </w:rPr>
        <w:t>了解常见的SEC Filings；</w:t>
      </w:r>
    </w:p>
    <w:p>
      <w:pPr>
        <w:numPr>
          <w:ilvl w:val="0"/>
          <w:numId w:val="2"/>
        </w:numPr>
        <w:jc w:val="left"/>
        <w:rPr>
          <w:rFonts w:hint="eastAsia"/>
        </w:rPr>
      </w:pPr>
      <w:r>
        <w:rPr>
          <w:rFonts w:hint="eastAsia"/>
        </w:rPr>
        <w:t>了解IFRS的框架，重点掌握6个Qualitative characteristics</w:t>
      </w:r>
    </w:p>
    <w:p>
      <w:pPr>
        <w:numPr>
          <w:ilvl w:val="0"/>
          <w:numId w:val="1"/>
        </w:numPr>
        <w:jc w:val="left"/>
        <w:rPr>
          <w:b/>
          <w:bCs/>
        </w:rPr>
      </w:pPr>
      <w:r>
        <w:rPr>
          <w:b/>
          <w:bCs/>
        </w:rPr>
        <w:t>Reading 25: Understanding Income Statements</w:t>
      </w:r>
    </w:p>
    <w:p>
      <w:pPr>
        <w:numPr>
          <w:ilvl w:val="0"/>
          <w:numId w:val="2"/>
        </w:numPr>
        <w:jc w:val="left"/>
      </w:pPr>
      <w:r>
        <w:rPr>
          <w:rFonts w:hint="eastAsia"/>
        </w:rPr>
        <w:t>辨析single-step和multiple-step格式的利润表；</w:t>
      </w:r>
    </w:p>
    <w:p>
      <w:pPr>
        <w:numPr>
          <w:ilvl w:val="0"/>
          <w:numId w:val="2"/>
        </w:numPr>
        <w:jc w:val="left"/>
        <w:rPr>
          <w:rFonts w:hint="eastAsia"/>
        </w:rPr>
      </w:pPr>
      <w:r>
        <w:rPr>
          <w:rFonts w:hint="eastAsia"/>
        </w:rPr>
        <w:t>辨析Unusual or infrequent items，Extraordinary items以及Discontinued operations  ；</w:t>
      </w:r>
    </w:p>
    <w:p>
      <w:pPr>
        <w:numPr>
          <w:ilvl w:val="0"/>
          <w:numId w:val="2"/>
        </w:numPr>
        <w:jc w:val="left"/>
        <w:rPr>
          <w:rFonts w:hint="eastAsia"/>
        </w:rPr>
      </w:pPr>
      <w:r>
        <w:rPr>
          <w:rFonts w:hint="eastAsia"/>
        </w:rPr>
        <w:t>计算长期合同的收入，费用以及利润。</w:t>
      </w:r>
    </w:p>
    <w:p>
      <w:pPr>
        <w:numPr>
          <w:ilvl w:val="0"/>
          <w:numId w:val="2"/>
        </w:numPr>
        <w:jc w:val="left"/>
        <w:rPr>
          <w:rFonts w:hint="eastAsia"/>
        </w:rPr>
      </w:pPr>
      <w:r>
        <w:rPr>
          <w:rFonts w:hint="eastAsia"/>
        </w:rPr>
        <w:t>辨析gross以及net revenue确认原则。</w:t>
      </w:r>
    </w:p>
    <w:p>
      <w:pPr>
        <w:numPr>
          <w:ilvl w:val="0"/>
          <w:numId w:val="2"/>
        </w:numPr>
        <w:jc w:val="left"/>
        <w:rPr>
          <w:rFonts w:hint="eastAsia"/>
        </w:rPr>
      </w:pPr>
      <w:r>
        <w:rPr>
          <w:rFonts w:hint="eastAsia"/>
        </w:rPr>
        <w:t>计算Basic EPS及Dilutive EPS。</w:t>
      </w:r>
    </w:p>
    <w:p>
      <w:pPr>
        <w:pStyle w:val="8"/>
        <w:numPr>
          <w:ilvl w:val="0"/>
          <w:numId w:val="2"/>
        </w:numPr>
        <w:ind w:firstLineChars="0"/>
        <w:jc w:val="left"/>
        <w:rPr>
          <w:rFonts w:hint="eastAsia"/>
        </w:rPr>
      </w:pPr>
      <w:r>
        <w:rPr>
          <w:rFonts w:hint="eastAsia"/>
        </w:rPr>
        <w:t>记忆其他类综合收益（OCI）的构成，并会计算综合收益。</w:t>
      </w:r>
    </w:p>
    <w:p>
      <w:pPr>
        <w:jc w:val="left"/>
        <w:rPr>
          <w:rFonts w:hint="eastAsia"/>
        </w:rPr>
      </w:pPr>
    </w:p>
    <w:p>
      <w:pPr>
        <w:jc w:val="left"/>
        <w:rPr>
          <w:rFonts w:hint="eastAsia"/>
        </w:rPr>
      </w:pPr>
    </w:p>
    <w:p>
      <w:pPr>
        <w:jc w:val="left"/>
        <w:rPr>
          <w:rFonts w:hint="eastAsia"/>
        </w:rPr>
      </w:pPr>
    </w:p>
    <w:p>
      <w:pPr>
        <w:numPr>
          <w:ilvl w:val="0"/>
          <w:numId w:val="1"/>
        </w:numPr>
        <w:jc w:val="left"/>
        <w:rPr>
          <w:b/>
          <w:bCs/>
        </w:rPr>
      </w:pPr>
      <w:r>
        <w:rPr>
          <w:b/>
          <w:bCs/>
        </w:rPr>
        <w:t>Reading 26: Understanding Balance Sheets</w:t>
      </w:r>
    </w:p>
    <w:p>
      <w:pPr>
        <w:numPr>
          <w:ilvl w:val="0"/>
          <w:numId w:val="2"/>
        </w:numPr>
        <w:jc w:val="left"/>
      </w:pPr>
      <w:r>
        <w:rPr>
          <w:rFonts w:hint="eastAsia"/>
        </w:rPr>
        <w:t>Classified B/S 的报告格式，记忆具体科目名称和含义；</w:t>
      </w:r>
    </w:p>
    <w:p>
      <w:pPr>
        <w:numPr>
          <w:ilvl w:val="0"/>
          <w:numId w:val="2"/>
        </w:numPr>
        <w:jc w:val="left"/>
        <w:rPr>
          <w:rFonts w:hint="eastAsia"/>
        </w:rPr>
      </w:pPr>
      <w:r>
        <w:rPr>
          <w:rFonts w:hint="eastAsia"/>
        </w:rPr>
        <w:t>辨析不同类别的measurement base对于B/S的影响；</w:t>
      </w:r>
    </w:p>
    <w:p>
      <w:pPr>
        <w:numPr>
          <w:ilvl w:val="0"/>
          <w:numId w:val="2"/>
        </w:numPr>
        <w:jc w:val="left"/>
        <w:rPr>
          <w:rFonts w:hint="eastAsia"/>
        </w:rPr>
      </w:pPr>
      <w:r>
        <w:rPr>
          <w:rFonts w:hint="eastAsia"/>
        </w:rPr>
        <w:t>不同类别的金融资产如何被计入B/S，以及其损益如何影响I/S。</w:t>
      </w:r>
    </w:p>
    <w:p>
      <w:pPr>
        <w:numPr>
          <w:ilvl w:val="0"/>
          <w:numId w:val="2"/>
        </w:numPr>
        <w:jc w:val="left"/>
        <w:rPr>
          <w:rFonts w:hint="eastAsia"/>
        </w:rPr>
      </w:pPr>
      <w:r>
        <w:rPr>
          <w:rFonts w:hint="eastAsia"/>
        </w:rPr>
        <w:t>用common size的方法来分析资产负债表。</w:t>
      </w:r>
    </w:p>
    <w:p>
      <w:pPr>
        <w:numPr>
          <w:ilvl w:val="0"/>
          <w:numId w:val="1"/>
        </w:numPr>
        <w:jc w:val="left"/>
        <w:rPr>
          <w:b/>
          <w:bCs/>
        </w:rPr>
      </w:pPr>
      <w:r>
        <w:rPr>
          <w:b/>
          <w:bCs/>
        </w:rPr>
        <w:t>Reading 27: Understanding Cash Flow Statements</w:t>
      </w:r>
    </w:p>
    <w:p>
      <w:pPr>
        <w:numPr>
          <w:ilvl w:val="0"/>
          <w:numId w:val="2"/>
        </w:numPr>
        <w:jc w:val="left"/>
      </w:pPr>
      <w:r>
        <w:rPr>
          <w:rFonts w:hint="eastAsia"/>
        </w:rPr>
        <w:t>辨析现金流在GAAP和IFRS下的分类 （CFO，CFI，CFF）；</w:t>
      </w:r>
    </w:p>
    <w:p>
      <w:pPr>
        <w:numPr>
          <w:ilvl w:val="0"/>
          <w:numId w:val="2"/>
        </w:numPr>
        <w:jc w:val="left"/>
        <w:rPr>
          <w:rFonts w:hint="eastAsia"/>
        </w:rPr>
      </w:pPr>
      <w:r>
        <w:rPr>
          <w:rFonts w:hint="eastAsia"/>
        </w:rPr>
        <w:t>使用直接法和间接法计算公司的经营性现金流；</w:t>
      </w:r>
    </w:p>
    <w:p>
      <w:pPr>
        <w:numPr>
          <w:ilvl w:val="0"/>
          <w:numId w:val="2"/>
        </w:numPr>
        <w:jc w:val="left"/>
        <w:rPr>
          <w:rFonts w:hint="eastAsia"/>
        </w:rPr>
      </w:pPr>
      <w:r>
        <w:rPr>
          <w:rFonts w:hint="eastAsia"/>
        </w:rPr>
        <w:t>计算公司的投资性和融资性现金流。</w:t>
      </w:r>
    </w:p>
    <w:p>
      <w:pPr>
        <w:numPr>
          <w:ilvl w:val="0"/>
          <w:numId w:val="2"/>
        </w:numPr>
        <w:jc w:val="left"/>
        <w:rPr>
          <w:rFonts w:hint="eastAsia"/>
        </w:rPr>
      </w:pPr>
      <w:r>
        <w:rPr>
          <w:rFonts w:hint="eastAsia"/>
        </w:rPr>
        <w:t>计算FCFF以及FCFE。</w:t>
      </w:r>
    </w:p>
    <w:p>
      <w:pPr>
        <w:numPr>
          <w:ilvl w:val="0"/>
          <w:numId w:val="1"/>
        </w:numPr>
        <w:jc w:val="left"/>
        <w:rPr>
          <w:b/>
          <w:bCs/>
        </w:rPr>
      </w:pPr>
      <w:r>
        <w:rPr>
          <w:b/>
          <w:bCs/>
        </w:rPr>
        <w:t>Reading 28: Financial Analysis Techniques</w:t>
      </w:r>
    </w:p>
    <w:p>
      <w:pPr>
        <w:numPr>
          <w:ilvl w:val="0"/>
          <w:numId w:val="2"/>
        </w:numPr>
        <w:jc w:val="left"/>
      </w:pPr>
      <w:r>
        <w:rPr>
          <w:rFonts w:hint="eastAsia"/>
        </w:rPr>
        <w:t>了解5大类常见的财务比率以及其中的典型指标；</w:t>
      </w:r>
    </w:p>
    <w:p>
      <w:pPr>
        <w:numPr>
          <w:ilvl w:val="0"/>
          <w:numId w:val="2"/>
        </w:numPr>
        <w:jc w:val="left"/>
        <w:rPr>
          <w:rFonts w:hint="eastAsia"/>
        </w:rPr>
      </w:pPr>
      <w:r>
        <w:rPr>
          <w:rFonts w:hint="eastAsia"/>
        </w:rPr>
        <w:t>计算cash conversion cycle；</w:t>
      </w:r>
    </w:p>
    <w:p>
      <w:pPr>
        <w:numPr>
          <w:ilvl w:val="0"/>
          <w:numId w:val="2"/>
        </w:numPr>
        <w:jc w:val="left"/>
        <w:rPr>
          <w:rFonts w:hint="eastAsia"/>
        </w:rPr>
      </w:pPr>
      <w:r>
        <w:rPr>
          <w:rFonts w:hint="eastAsia"/>
        </w:rPr>
        <w:t>了解杜邦分析是如何拆解ROE指标的。</w:t>
      </w:r>
    </w:p>
    <w:p>
      <w:pPr>
        <w:numPr>
          <w:ilvl w:val="0"/>
          <w:numId w:val="2"/>
        </w:numPr>
        <w:jc w:val="left"/>
        <w:rPr>
          <w:rFonts w:hint="eastAsia"/>
        </w:rPr>
      </w:pPr>
      <w:r>
        <w:rPr>
          <w:rFonts w:hint="eastAsia"/>
        </w:rPr>
        <w:t>了解Valuation ratio是如何用于分析股票估值的。</w:t>
      </w:r>
    </w:p>
    <w:p>
      <w:pPr>
        <w:numPr>
          <w:ilvl w:val="0"/>
          <w:numId w:val="1"/>
        </w:numPr>
        <w:jc w:val="left"/>
        <w:rPr>
          <w:b/>
          <w:bCs/>
        </w:rPr>
      </w:pPr>
      <w:r>
        <w:rPr>
          <w:b/>
          <w:bCs/>
        </w:rPr>
        <w:t>Reading 29: Inventories</w:t>
      </w:r>
    </w:p>
    <w:p>
      <w:pPr>
        <w:numPr>
          <w:ilvl w:val="0"/>
          <w:numId w:val="2"/>
        </w:numPr>
        <w:jc w:val="left"/>
      </w:pPr>
      <w:r>
        <w:rPr>
          <w:rFonts w:hint="eastAsia"/>
        </w:rPr>
        <w:t>辨析在生产周期中有哪些费用可以资本化为存货，哪些只能费用化；</w:t>
      </w:r>
    </w:p>
    <w:p>
      <w:pPr>
        <w:numPr>
          <w:ilvl w:val="0"/>
          <w:numId w:val="2"/>
        </w:numPr>
        <w:jc w:val="left"/>
        <w:rPr>
          <w:rFonts w:hint="eastAsia"/>
        </w:rPr>
      </w:pPr>
      <w:r>
        <w:rPr>
          <w:rFonts w:hint="eastAsia"/>
        </w:rPr>
        <w:t>了解四种存货的计量方法，重点辨析FIFO和LIFO；</w:t>
      </w:r>
    </w:p>
    <w:p>
      <w:pPr>
        <w:numPr>
          <w:ilvl w:val="0"/>
          <w:numId w:val="2"/>
        </w:numPr>
        <w:jc w:val="left"/>
        <w:rPr>
          <w:rFonts w:hint="eastAsia"/>
        </w:rPr>
      </w:pPr>
      <w:r>
        <w:rPr>
          <w:rFonts w:hint="eastAsia"/>
        </w:rPr>
        <w:t>了解periodic和perpetual假设</w:t>
      </w:r>
    </w:p>
    <w:p>
      <w:pPr>
        <w:numPr>
          <w:ilvl w:val="0"/>
          <w:numId w:val="2"/>
        </w:numPr>
        <w:jc w:val="left"/>
        <w:rPr>
          <w:rFonts w:hint="eastAsia"/>
        </w:rPr>
      </w:pPr>
      <w:r>
        <w:rPr>
          <w:rFonts w:hint="eastAsia"/>
        </w:rPr>
        <w:t>记忆LIFO调成FIFO时，报表需要做回朔调整的相关披露要求。</w:t>
      </w:r>
    </w:p>
    <w:p>
      <w:pPr>
        <w:numPr>
          <w:ilvl w:val="0"/>
          <w:numId w:val="1"/>
        </w:numPr>
        <w:jc w:val="left"/>
        <w:rPr>
          <w:b/>
          <w:bCs/>
        </w:rPr>
      </w:pPr>
      <w:r>
        <w:rPr>
          <w:b/>
          <w:bCs/>
        </w:rPr>
        <w:t>Reading 30: Long-lived Assets</w:t>
      </w:r>
    </w:p>
    <w:p>
      <w:pPr>
        <w:numPr>
          <w:ilvl w:val="0"/>
          <w:numId w:val="2"/>
        </w:numPr>
        <w:jc w:val="left"/>
      </w:pPr>
      <w:r>
        <w:rPr>
          <w:rFonts w:hint="eastAsia"/>
        </w:rPr>
        <w:t>资本化和费用化的会计处理对于资产负债表，利润表以及现金流量表以及相应财务比率的影响；</w:t>
      </w:r>
    </w:p>
    <w:p>
      <w:pPr>
        <w:numPr>
          <w:ilvl w:val="0"/>
          <w:numId w:val="2"/>
        </w:numPr>
        <w:jc w:val="left"/>
        <w:rPr>
          <w:rFonts w:hint="eastAsia"/>
        </w:rPr>
      </w:pPr>
      <w:r>
        <w:rPr>
          <w:rFonts w:hint="eastAsia"/>
        </w:rPr>
        <w:t>了解公司的无形资产；</w:t>
      </w:r>
    </w:p>
    <w:p>
      <w:pPr>
        <w:numPr>
          <w:ilvl w:val="0"/>
          <w:numId w:val="2"/>
        </w:numPr>
        <w:jc w:val="left"/>
        <w:rPr>
          <w:rFonts w:hint="eastAsia"/>
        </w:rPr>
      </w:pPr>
      <w:r>
        <w:rPr>
          <w:rFonts w:hint="eastAsia"/>
        </w:rPr>
        <w:t>3种折旧方法的计算；</w:t>
      </w:r>
    </w:p>
    <w:p>
      <w:pPr>
        <w:numPr>
          <w:ilvl w:val="0"/>
          <w:numId w:val="2"/>
        </w:numPr>
        <w:jc w:val="left"/>
        <w:rPr>
          <w:rFonts w:hint="eastAsia"/>
        </w:rPr>
      </w:pPr>
      <w:r>
        <w:rPr>
          <w:rFonts w:hint="eastAsia"/>
        </w:rPr>
        <w:t>记忆GAAP&amp;IFRS下如何做减值测试以及减值损失的计量；</w:t>
      </w:r>
    </w:p>
    <w:p>
      <w:pPr>
        <w:numPr>
          <w:ilvl w:val="0"/>
          <w:numId w:val="2"/>
        </w:numPr>
        <w:jc w:val="left"/>
        <w:rPr>
          <w:rFonts w:hint="eastAsia"/>
        </w:rPr>
      </w:pPr>
      <w:r>
        <w:rPr>
          <w:rFonts w:hint="eastAsia"/>
        </w:rPr>
        <w:t>IFRS下Revaluation model对于减值转回的特殊处理；</w:t>
      </w:r>
    </w:p>
    <w:p>
      <w:pPr>
        <w:numPr>
          <w:ilvl w:val="0"/>
          <w:numId w:val="2"/>
        </w:numPr>
        <w:jc w:val="left"/>
        <w:rPr>
          <w:rFonts w:hint="eastAsia"/>
        </w:rPr>
      </w:pPr>
      <w:r>
        <w:rPr>
          <w:rFonts w:hint="eastAsia"/>
        </w:rPr>
        <w:t>IFRS下投资性房地产在Fair value model下的特殊处理方法。</w:t>
      </w:r>
    </w:p>
    <w:p>
      <w:pPr>
        <w:ind w:left="720"/>
        <w:jc w:val="left"/>
        <w:rPr>
          <w:rFonts w:hint="eastAsia"/>
        </w:rPr>
      </w:pPr>
    </w:p>
    <w:p>
      <w:pPr>
        <w:ind w:left="720"/>
        <w:jc w:val="left"/>
        <w:rPr>
          <w:rFonts w:hint="eastAsia"/>
        </w:rPr>
      </w:pPr>
    </w:p>
    <w:p>
      <w:pPr>
        <w:ind w:left="720"/>
        <w:jc w:val="left"/>
        <w:rPr>
          <w:rFonts w:hint="eastAsia"/>
        </w:rPr>
      </w:pPr>
    </w:p>
    <w:p>
      <w:pPr>
        <w:ind w:left="720"/>
        <w:jc w:val="left"/>
        <w:rPr>
          <w:rFonts w:hint="eastAsia"/>
        </w:rPr>
      </w:pPr>
    </w:p>
    <w:p>
      <w:pPr>
        <w:numPr>
          <w:ilvl w:val="0"/>
          <w:numId w:val="1"/>
        </w:numPr>
        <w:jc w:val="left"/>
        <w:rPr>
          <w:b/>
          <w:bCs/>
        </w:rPr>
      </w:pPr>
      <w:r>
        <w:rPr>
          <w:b/>
          <w:bCs/>
        </w:rPr>
        <w:t>Reading 31: Income Taxes</w:t>
      </w:r>
    </w:p>
    <w:p>
      <w:pPr>
        <w:numPr>
          <w:ilvl w:val="0"/>
          <w:numId w:val="2"/>
        </w:numPr>
        <w:jc w:val="left"/>
      </w:pPr>
      <w:r>
        <w:rPr>
          <w:rFonts w:hint="eastAsia"/>
        </w:rPr>
        <w:t>辨析财务报表和税务报表下和所得税相关的各类术语；</w:t>
      </w:r>
    </w:p>
    <w:p>
      <w:pPr>
        <w:numPr>
          <w:ilvl w:val="0"/>
          <w:numId w:val="2"/>
        </w:numPr>
        <w:jc w:val="left"/>
        <w:rPr>
          <w:rFonts w:hint="eastAsia"/>
        </w:rPr>
      </w:pPr>
      <w:r>
        <w:rPr>
          <w:rFonts w:hint="eastAsia"/>
        </w:rPr>
        <w:t>理解递延税问题产生的根源即财务和税务报表税费的暂时性差异；</w:t>
      </w:r>
    </w:p>
    <w:p>
      <w:pPr>
        <w:numPr>
          <w:ilvl w:val="0"/>
          <w:numId w:val="2"/>
        </w:numPr>
        <w:jc w:val="left"/>
        <w:rPr>
          <w:rFonts w:hint="eastAsia"/>
        </w:rPr>
      </w:pPr>
      <w:r>
        <w:rPr>
          <w:rFonts w:hint="eastAsia"/>
        </w:rPr>
        <w:t>计算资产端和负债端的税基和账面价值；</w:t>
      </w:r>
    </w:p>
    <w:p>
      <w:pPr>
        <w:numPr>
          <w:ilvl w:val="0"/>
          <w:numId w:val="2"/>
        </w:numPr>
        <w:jc w:val="left"/>
        <w:rPr>
          <w:rFonts w:hint="eastAsia"/>
        </w:rPr>
      </w:pPr>
      <w:r>
        <w:rPr>
          <w:rFonts w:hint="eastAsia"/>
        </w:rPr>
        <w:t>使用税基和账面价值的差异计算当期的递延所得税余额；</w:t>
      </w:r>
    </w:p>
    <w:p>
      <w:pPr>
        <w:numPr>
          <w:ilvl w:val="0"/>
          <w:numId w:val="2"/>
        </w:numPr>
        <w:jc w:val="left"/>
        <w:rPr>
          <w:rFonts w:hint="eastAsia"/>
        </w:rPr>
      </w:pPr>
      <w:r>
        <w:rPr>
          <w:rFonts w:hint="eastAsia"/>
        </w:rPr>
        <w:t>辨析常见的暂时性差异和永久性差异；</w:t>
      </w:r>
    </w:p>
    <w:p>
      <w:pPr>
        <w:numPr>
          <w:ilvl w:val="0"/>
          <w:numId w:val="2"/>
        </w:numPr>
        <w:jc w:val="left"/>
        <w:rPr>
          <w:rFonts w:hint="eastAsia"/>
        </w:rPr>
      </w:pPr>
      <w:r>
        <w:rPr>
          <w:rFonts w:hint="eastAsia"/>
        </w:rPr>
        <w:t>理解valuation allowance是如何基于管理层的主观判断影响净利润的。</w:t>
      </w:r>
    </w:p>
    <w:p>
      <w:pPr>
        <w:numPr>
          <w:ilvl w:val="0"/>
          <w:numId w:val="1"/>
        </w:numPr>
        <w:jc w:val="left"/>
        <w:rPr>
          <w:b/>
          <w:bCs/>
        </w:rPr>
      </w:pPr>
      <w:r>
        <w:rPr>
          <w:b/>
          <w:bCs/>
        </w:rPr>
        <w:t>Reading 32: Non-current (Long-term) Liabilities</w:t>
      </w:r>
    </w:p>
    <w:p>
      <w:pPr>
        <w:numPr>
          <w:ilvl w:val="0"/>
          <w:numId w:val="2"/>
        </w:numPr>
        <w:jc w:val="left"/>
      </w:pPr>
      <w:r>
        <w:rPr>
          <w:rFonts w:hint="eastAsia"/>
        </w:rPr>
        <w:t>辨析债券在发行过程中对于B/S, I/S, 以及CFS的影响；</w:t>
      </w:r>
    </w:p>
    <w:p>
      <w:pPr>
        <w:numPr>
          <w:ilvl w:val="0"/>
          <w:numId w:val="2"/>
        </w:numPr>
        <w:jc w:val="left"/>
        <w:rPr>
          <w:rFonts w:hint="eastAsia"/>
        </w:rPr>
      </w:pPr>
      <w:r>
        <w:rPr>
          <w:rFonts w:hint="eastAsia"/>
        </w:rPr>
        <w:t>了解公司债的核销在会计报表上的相应处理；</w:t>
      </w:r>
    </w:p>
    <w:p>
      <w:pPr>
        <w:numPr>
          <w:ilvl w:val="0"/>
          <w:numId w:val="2"/>
        </w:numPr>
        <w:jc w:val="left"/>
        <w:rPr>
          <w:rFonts w:hint="eastAsia"/>
        </w:rPr>
      </w:pPr>
      <w:r>
        <w:rPr>
          <w:rFonts w:hint="eastAsia"/>
        </w:rPr>
        <w:t>辨析融资性租赁和经营性租赁；</w:t>
      </w:r>
    </w:p>
    <w:p>
      <w:pPr>
        <w:numPr>
          <w:ilvl w:val="0"/>
          <w:numId w:val="2"/>
        </w:numPr>
        <w:jc w:val="left"/>
        <w:rPr>
          <w:rFonts w:hint="eastAsia"/>
        </w:rPr>
      </w:pPr>
      <w:r>
        <w:rPr>
          <w:rFonts w:hint="eastAsia"/>
        </w:rPr>
        <w:t>了解融资性租赁和经营性租赁对于不同的财务表以及财务比率的影响；</w:t>
      </w:r>
    </w:p>
    <w:p>
      <w:pPr>
        <w:numPr>
          <w:ilvl w:val="0"/>
          <w:numId w:val="2"/>
        </w:numPr>
        <w:jc w:val="left"/>
        <w:rPr>
          <w:rFonts w:hint="eastAsia"/>
        </w:rPr>
      </w:pPr>
      <w:r>
        <w:rPr>
          <w:rFonts w:hint="eastAsia"/>
        </w:rPr>
        <w:t>了解Sales type lease以及Direct financing lease对于不同的财务表以及财务比率的影响；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numPr>
          <w:ilvl w:val="0"/>
          <w:numId w:val="2"/>
        </w:numPr>
        <w:jc w:val="left"/>
        <w:rPr>
          <w:rFonts w:hint="eastAsia"/>
        </w:rPr>
      </w:pPr>
      <w:r>
        <w:rPr>
          <w:rFonts w:hint="eastAsia"/>
        </w:rPr>
        <w:t>辨析DC plan和DB plan。</w:t>
      </w:r>
    </w:p>
    <w:p>
      <w:pPr>
        <w:numPr>
          <w:ilvl w:val="0"/>
          <w:numId w:val="1"/>
        </w:numPr>
        <w:jc w:val="left"/>
        <w:rPr>
          <w:b/>
          <w:bCs/>
        </w:rPr>
      </w:pPr>
      <w:r>
        <w:rPr>
          <w:b/>
          <w:bCs/>
        </w:rPr>
        <w:t>Reading 33: Financial Reporting Quality</w:t>
      </w:r>
    </w:p>
    <w:p>
      <w:pPr>
        <w:numPr>
          <w:ilvl w:val="0"/>
          <w:numId w:val="2"/>
        </w:numPr>
        <w:jc w:val="left"/>
      </w:pPr>
      <w:r>
        <w:rPr>
          <w:rFonts w:hint="eastAsia"/>
        </w:rPr>
        <w:t>了解如何评价财务报告特别是利润报告的质量；</w:t>
      </w:r>
    </w:p>
    <w:p>
      <w:pPr>
        <w:numPr>
          <w:ilvl w:val="0"/>
          <w:numId w:val="2"/>
        </w:numPr>
        <w:jc w:val="left"/>
        <w:rPr>
          <w:rFonts w:hint="eastAsia"/>
        </w:rPr>
      </w:pPr>
      <w:r>
        <w:rPr>
          <w:rFonts w:hint="eastAsia"/>
        </w:rPr>
        <w:t>了解造成低质量财务报告的各种场景；</w:t>
      </w:r>
    </w:p>
    <w:p>
      <w:pPr>
        <w:numPr>
          <w:ilvl w:val="0"/>
          <w:numId w:val="2"/>
        </w:numPr>
        <w:jc w:val="left"/>
        <w:rPr>
          <w:rFonts w:hint="eastAsia"/>
        </w:rPr>
      </w:pPr>
      <w:r>
        <w:rPr>
          <w:rFonts w:hint="eastAsia"/>
        </w:rPr>
        <w:t>辨析激进及保守的会计处理方法。</w:t>
      </w:r>
    </w:p>
    <w:p>
      <w:pPr>
        <w:numPr>
          <w:ilvl w:val="0"/>
          <w:numId w:val="1"/>
        </w:numPr>
        <w:jc w:val="left"/>
        <w:rPr>
          <w:b/>
          <w:bCs/>
        </w:rPr>
      </w:pPr>
      <w:r>
        <w:rPr>
          <w:b/>
          <w:bCs/>
        </w:rPr>
        <w:t>Reading 34: Financial Statement Analysis: Applications</w:t>
      </w:r>
    </w:p>
    <w:p>
      <w:pPr>
        <w:numPr>
          <w:ilvl w:val="0"/>
          <w:numId w:val="2"/>
        </w:numPr>
        <w:jc w:val="left"/>
        <w:rPr>
          <w:rFonts w:hint="eastAsia"/>
        </w:rPr>
      </w:pPr>
      <w:r>
        <w:rPr>
          <w:rFonts w:hint="eastAsia"/>
        </w:rPr>
        <w:t>记忆在做信用分析时所使用的4C模型；</w:t>
      </w:r>
    </w:p>
    <w:p>
      <w:pPr>
        <w:numPr>
          <w:ilvl w:val="0"/>
          <w:numId w:val="2"/>
        </w:numPr>
        <w:jc w:val="left"/>
      </w:pPr>
      <w:r>
        <w:rPr>
          <w:rFonts w:hint="eastAsia"/>
        </w:rPr>
        <w:t>理解针对容易被操纵的科目如何做调整和分析。；</w:t>
      </w:r>
      <w:r>
        <w:rPr>
          <w:rFonts w:hint="eastAsia"/>
        </w:rPr>
        <w:tab/>
      </w:r>
      <w:r>
        <w:rPr>
          <w:rFonts w:hint="eastAsia"/>
        </w:rPr>
        <w:tab/>
      </w:r>
      <w:r>
        <w:rPr>
          <w:rFonts w:hint="eastAsia"/>
        </w:rPr>
        <w:tab/>
      </w:r>
      <w:r>
        <w:rPr>
          <w:rFonts w:hint="eastAsia"/>
        </w:rPr>
        <w:tab/>
      </w:r>
      <w:r>
        <w:rPr>
          <w:rFonts w:hint="eastAsia"/>
        </w:rPr>
        <w:tab/>
      </w:r>
    </w:p>
    <w:p>
      <w:pPr>
        <w:ind w:left="360"/>
        <w:jc w:val="left"/>
      </w:pPr>
    </w:p>
    <w:sectPr>
      <w:headerReference r:id="rId3" w:type="default"/>
      <w:footerReference r:id="rId4"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黑体">
    <w:panose1 w:val="02010600030101010101"/>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Segoe UI Symbol">
    <w:altName w:val="Symbol"/>
    <w:panose1 w:val="020B0502040204020203"/>
    <w:charset w:val="00"/>
    <w:family w:val="auto"/>
    <w:pitch w:val="default"/>
    <w:sig w:usb0="00000000" w:usb1="00000000" w:usb2="0004C000" w:usb3="00000000" w:csb0="00000001" w:csb1="40000000"/>
  </w:font>
  <w:font w:name="PMingLiU">
    <w:panose1 w:val="02020300000000000000"/>
    <w:charset w:val="88"/>
    <w:family w:val="auto"/>
    <w:pitch w:val="default"/>
    <w:sig w:usb0="00000003" w:usb1="082E0000" w:usb2="00000016" w:usb3="00000000" w:csb0="00100001" w:csb1="00000000"/>
  </w:font>
  <w:font w:name="Segoe UI">
    <w:altName w:val="Shruti"/>
    <w:panose1 w:val="020B0502040204020203"/>
    <w:charset w:val="00"/>
    <w:family w:val="auto"/>
    <w:pitch w:val="default"/>
    <w:sig w:usb0="00000000" w:usb1="00000000" w:usb2="00000029" w:usb3="00000000" w:csb0="200001DF" w:csb1="2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PMingLiU">
    <w:panose1 w:val="02020300000000000000"/>
    <w:charset w:val="88"/>
    <w:family w:val="roman"/>
    <w:pitch w:val="default"/>
    <w:sig w:usb0="00000003" w:usb1="082E0000" w:usb2="00000016" w:usb3="00000000" w:csb0="00100001" w:csb1="00000000"/>
  </w:font>
  <w:font w:name="MT Extra">
    <w:panose1 w:val="05050102010205020202"/>
    <w:charset w:val="02"/>
    <w:family w:val="auto"/>
    <w:pitch w:val="default"/>
    <w:sig w:usb0="8000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Shruti">
    <w:panose1 w:val="02000500000000000000"/>
    <w:charset w:val="00"/>
    <w:family w:val="roman"/>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Symbol">
    <w:panose1 w:val="05050102010706020507"/>
    <w:charset w:val="00"/>
    <w:family w:val="auto"/>
    <w:pitch w:val="default"/>
    <w:sig w:usb0="00000000" w:usb1="00000000" w:usb2="00000000" w:usb3="00000000" w:csb0="80000000" w:csb1="00000000"/>
  </w:font>
  <w:font w:name="Lucida Sans">
    <w:altName w:val="Lucida Sans Unicode"/>
    <w:panose1 w:val="020B0602040502020204"/>
    <w:charset w:val="00"/>
    <w:family w:val="auto"/>
    <w:pitch w:val="default"/>
    <w:sig w:usb0="00000000" w:usb1="00000000" w:usb2="00000000" w:usb3="00000000" w:csb0="00000000" w:csb1="00000000"/>
  </w:font>
  <w:font w:name="Shruti">
    <w:panose1 w:val="02000500000000000000"/>
    <w:charset w:val="00"/>
    <w:family w:val="roman"/>
    <w:pitch w:val="default"/>
    <w:sig w:usb0="0004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sdt>
      <w:sdtPr>
        <w:rPr>
          <w:kern w:val="0"/>
        </w:rPr>
        <w:alias w:val="公司"/>
        <w:id w:val="76161118"/>
        <w:placeholder>
          <w:docPart w:val="096CBB6B253040F88CEB0213ED244861"/>
        </w:placeholder>
        <w15:dataBinding w:prefixMappings="xmlns:ns0='http://schemas.openxmlformats.org/officeDocument/2006/extended-properties'" w:xpath="/ns0:Properties[1]/ns0:Company[1]" w:storeItemID="{6668398D-A668-4E3E-A5EB-62B293D839F1}"/>
        <w:text/>
      </w:sdtPr>
      <w:sdtEndPr>
        <w:rPr>
          <w:kern w:val="0"/>
        </w:rPr>
      </w:sdtEndPr>
      <w:sdtContent>
        <w:r>
          <w:rPr>
            <w:rFonts w:hint="eastAsia"/>
            <w:kern w:val="0"/>
          </w:rPr>
          <w:t>咨询：400-600-8011  邮箱：cfa@gaodun.cn  网站：finance.gaodun.cn</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994" w:leftChars="-414"/>
      <w:jc w:val="left"/>
    </w:pPr>
    <w:r>
      <w:pict>
        <v:shape id="_x0000_s4097" o:spid="_x0000_s4097" o:spt="202" type="#_x0000_t202" style="position:absolute;left:0pt;margin-left:275.25pt;margin-top:-3.55pt;height:40.5pt;width:173.4pt;z-index:251658240;mso-width-relative:margin;mso-height-relative:margin;" filled="f" stroked="f" coordsize="21600,21600">
          <v:path/>
          <v:fill on="f" focussize="0,0"/>
          <v:stroke on="f" color="#FFFFFF [3212]" joinstyle="miter"/>
          <v:imagedata o:title=""/>
          <o:lock v:ext="edit"/>
          <v:textbox>
            <w:txbxContent>
              <w:p>
                <w:pPr>
                  <w:jc w:val="center"/>
                </w:pPr>
                <w:r>
                  <w:rPr>
                    <w:rFonts w:hint="eastAsia" w:ascii="黑体" w:eastAsia="黑体"/>
                  </w:rPr>
                  <w:t>全球财经教育领导品牌</w:t>
                </w:r>
                <w:r>
                  <w:br w:type="textWrapping"/>
                </w:r>
                <w:r>
                  <w:rPr>
                    <w:rFonts w:ascii="Arial Unicode MS" w:hAnsi="Arial Unicode MS" w:eastAsia="Arial Unicode MS" w:cs="Arial Unicode MS"/>
                  </w:rPr>
                  <w:t>http://</w:t>
                </w:r>
                <w:r>
                  <w:rPr>
                    <w:rFonts w:hint="eastAsia" w:ascii="Arial Unicode MS" w:hAnsi="Arial Unicode MS" w:eastAsia="Arial Unicode MS" w:cs="Arial Unicode MS"/>
                  </w:rPr>
                  <w:t>finance</w:t>
                </w:r>
                <w:r>
                  <w:rPr>
                    <w:rFonts w:ascii="Arial Unicode MS" w:hAnsi="Arial Unicode MS" w:eastAsia="Arial Unicode MS" w:cs="Arial Unicode MS"/>
                  </w:rPr>
                  <w:t>.gaodun.cn</w:t>
                </w:r>
              </w:p>
            </w:txbxContent>
          </v:textbox>
        </v:shape>
      </w:pict>
    </w:r>
    <w:r>
      <w:drawing>
        <wp:inline distT="0" distB="0" distL="0" distR="0">
          <wp:extent cx="3510280" cy="485140"/>
          <wp:effectExtent l="0" t="0" r="0" b="0"/>
          <wp:docPr id="2" name="图片 1" descr="cf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fa-logo.png"/>
                  <pic:cNvPicPr>
                    <a:picLocks noChangeAspect="1"/>
                  </pic:cNvPicPr>
                </pic:nvPicPr>
                <pic:blipFill>
                  <a:blip r:embed="rId1"/>
                  <a:stretch>
                    <a:fillRect/>
                  </a:stretch>
                </pic:blipFill>
                <pic:spPr>
                  <a:xfrm>
                    <a:off x="0" y="0"/>
                    <a:ext cx="3531365" cy="488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3EC"/>
    <w:multiLevelType w:val="multilevel"/>
    <w:tmpl w:val="502D23E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5A1E6B8A"/>
    <w:multiLevelType w:val="multilevel"/>
    <w:tmpl w:val="5A1E6B8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74329"/>
    <w:rsid w:val="00021087"/>
    <w:rsid w:val="00034416"/>
    <w:rsid w:val="00036790"/>
    <w:rsid w:val="0007726C"/>
    <w:rsid w:val="000C0935"/>
    <w:rsid w:val="00147996"/>
    <w:rsid w:val="001C1266"/>
    <w:rsid w:val="001C70F5"/>
    <w:rsid w:val="001D7DD5"/>
    <w:rsid w:val="001E0802"/>
    <w:rsid w:val="001E4F6A"/>
    <w:rsid w:val="00211395"/>
    <w:rsid w:val="00231181"/>
    <w:rsid w:val="00244E21"/>
    <w:rsid w:val="00252F93"/>
    <w:rsid w:val="002D1AAE"/>
    <w:rsid w:val="00301196"/>
    <w:rsid w:val="003148BE"/>
    <w:rsid w:val="003A2BC5"/>
    <w:rsid w:val="003B592F"/>
    <w:rsid w:val="003B5A1C"/>
    <w:rsid w:val="003B73AE"/>
    <w:rsid w:val="003C6EDC"/>
    <w:rsid w:val="004137A8"/>
    <w:rsid w:val="00415F1E"/>
    <w:rsid w:val="00426274"/>
    <w:rsid w:val="0045708D"/>
    <w:rsid w:val="00471B0E"/>
    <w:rsid w:val="004A660E"/>
    <w:rsid w:val="004A76AF"/>
    <w:rsid w:val="004B398C"/>
    <w:rsid w:val="004D263D"/>
    <w:rsid w:val="00547703"/>
    <w:rsid w:val="005514D3"/>
    <w:rsid w:val="00561912"/>
    <w:rsid w:val="005831CE"/>
    <w:rsid w:val="005C38DB"/>
    <w:rsid w:val="005D5C1F"/>
    <w:rsid w:val="00607B6A"/>
    <w:rsid w:val="00655924"/>
    <w:rsid w:val="00670A3F"/>
    <w:rsid w:val="00684E6B"/>
    <w:rsid w:val="00690707"/>
    <w:rsid w:val="006A5818"/>
    <w:rsid w:val="006C6D96"/>
    <w:rsid w:val="006F4A12"/>
    <w:rsid w:val="007150C7"/>
    <w:rsid w:val="00754F63"/>
    <w:rsid w:val="007B47DC"/>
    <w:rsid w:val="00817D79"/>
    <w:rsid w:val="00824D42"/>
    <w:rsid w:val="008513C8"/>
    <w:rsid w:val="00874329"/>
    <w:rsid w:val="008A107B"/>
    <w:rsid w:val="008E3406"/>
    <w:rsid w:val="008E54AF"/>
    <w:rsid w:val="008F24B7"/>
    <w:rsid w:val="009007F1"/>
    <w:rsid w:val="00931A5B"/>
    <w:rsid w:val="009459C7"/>
    <w:rsid w:val="00946DA7"/>
    <w:rsid w:val="009A4250"/>
    <w:rsid w:val="009B26FF"/>
    <w:rsid w:val="00A12A12"/>
    <w:rsid w:val="00A237D2"/>
    <w:rsid w:val="00A33701"/>
    <w:rsid w:val="00A76F4F"/>
    <w:rsid w:val="00A82BA8"/>
    <w:rsid w:val="00AC14B0"/>
    <w:rsid w:val="00AF6D09"/>
    <w:rsid w:val="00B15A2E"/>
    <w:rsid w:val="00B557C9"/>
    <w:rsid w:val="00B73B6C"/>
    <w:rsid w:val="00BB30FE"/>
    <w:rsid w:val="00BB7946"/>
    <w:rsid w:val="00BE262F"/>
    <w:rsid w:val="00BF5274"/>
    <w:rsid w:val="00C5040E"/>
    <w:rsid w:val="00C70518"/>
    <w:rsid w:val="00C70EE5"/>
    <w:rsid w:val="00CB2262"/>
    <w:rsid w:val="00D3702F"/>
    <w:rsid w:val="00DA668A"/>
    <w:rsid w:val="00DB496D"/>
    <w:rsid w:val="00DC1BA2"/>
    <w:rsid w:val="00DC6A8D"/>
    <w:rsid w:val="00E06B6D"/>
    <w:rsid w:val="00E30527"/>
    <w:rsid w:val="00E54552"/>
    <w:rsid w:val="00E86BE2"/>
    <w:rsid w:val="00EA5023"/>
    <w:rsid w:val="00F03D0A"/>
    <w:rsid w:val="00F15B9F"/>
    <w:rsid w:val="00F55300"/>
    <w:rsid w:val="00F82D15"/>
    <w:rsid w:val="00FA5C9B"/>
    <w:rsid w:val="00FB1346"/>
    <w:rsid w:val="00FD4F58"/>
    <w:rsid w:val="16DA5C82"/>
    <w:rsid w:val="334022C7"/>
    <w:rsid w:val="33F70B85"/>
    <w:rsid w:val="77CF085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96CBB6B253040F88CEB0213ED244861"/>
        <w:style w:val=""/>
        <w:category>
          <w:name w:val="常规"/>
          <w:gallery w:val="placeholder"/>
        </w:category>
        <w:types>
          <w:type w:val="bbPlcHdr"/>
        </w:types>
        <w:behaviors>
          <w:behavior w:val="content"/>
        </w:behaviors>
        <w:description w:val=""/>
        <w:guid w:val="{8001C213-7593-4E6D-B135-23F5024E3E12}"/>
      </w:docPartPr>
      <w:docPartBody>
        <w:p>
          <w:pPr>
            <w:pStyle w:val="6"/>
          </w:pPr>
          <w:r>
            <w:rPr>
              <w:color w:val="7E7E7E" w:themeColor="background1" w:themeShade="7F"/>
              <w:lang w:val="zh-CN"/>
            </w:rPr>
            <w:t>[键入公司名称]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黑体">
    <w:panose1 w:val="02010600030101010101"/>
    <w:charset w:val="86"/>
    <w:family w:val="auto"/>
    <w:pitch w:val="default"/>
    <w:sig w:usb0="00000001" w:usb1="080E0000" w:usb2="00000000" w:usb3="00000000" w:csb0="00040000"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Segoe UI Symbol">
    <w:altName w:val="Symbol"/>
    <w:panose1 w:val="020B0502040204020203"/>
    <w:charset w:val="00"/>
    <w:family w:val="auto"/>
    <w:pitch w:val="default"/>
    <w:sig w:usb0="00000000" w:usb1="00000000" w:usb2="0004C000" w:usb3="00000000" w:csb0="00000001" w:csb1="40000000"/>
  </w:font>
  <w:font w:name="PMingLiU">
    <w:panose1 w:val="02020300000000000000"/>
    <w:charset w:val="88"/>
    <w:family w:val="auto"/>
    <w:pitch w:val="default"/>
    <w:sig w:usb0="00000003" w:usb1="082E0000" w:usb2="00000016" w:usb3="00000000" w:csb0="00100001" w:csb1="00000000"/>
  </w:font>
  <w:font w:name="Segoe UI">
    <w:altName w:val="Shruti"/>
    <w:panose1 w:val="020B0502040204020203"/>
    <w:charset w:val="00"/>
    <w:family w:val="auto"/>
    <w:pitch w:val="default"/>
    <w:sig w:usb0="00000000" w:usb1="00000000" w:usb2="00000029" w:usb3="00000000" w:csb0="200001DF" w:csb1="2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53112"/>
    <w:rsid w:val="003123AE"/>
    <w:rsid w:val="008D5904"/>
    <w:rsid w:val="00AD3907"/>
    <w:rsid w:val="00E531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57BC088F528E443097476B996074894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860675B12DA4A548248A5AE746E55E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96CBB6B253040F88CEB0213ED24486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A90F61-7270-43A5-ABFD-7686BC196C6D}">
  <ds:schemaRefs/>
</ds:datastoreItem>
</file>

<file path=docProps/app.xml><?xml version="1.0" encoding="utf-8"?>
<Properties xmlns="http://schemas.openxmlformats.org/officeDocument/2006/extended-properties" xmlns:vt="http://schemas.openxmlformats.org/officeDocument/2006/docPropsVTypes">
  <Template>Normal</Template>
  <Company>咨询：400-600-8011  邮箱：cfa@gaodun.cn  网站：finance.gaodun.cn</Company>
  <Pages>4</Pages>
  <Words>540</Words>
  <Characters>3084</Characters>
  <Lines>25</Lines>
  <Paragraphs>7</Paragraphs>
  <ScaleCrop>false</ScaleCrop>
  <LinksUpToDate>false</LinksUpToDate>
  <CharactersWithSpaces>3617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2015-04-01T07:57:00Z</dcterms:created>
  <dc:creator>杰 袁</dc:creator>
  <cp:lastModifiedBy>gaodun</cp:lastModifiedBy>
  <dcterms:modified xsi:type="dcterms:W3CDTF">2016-08-05T01:50:10Z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