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CFA一级</w:t>
      </w:r>
      <w:r>
        <w:rPr>
          <w:rFonts w:hint="eastAsia"/>
          <w:b/>
          <w:sz w:val="36"/>
          <w:szCs w:val="36"/>
          <w:lang w:eastAsia="zh-CN"/>
        </w:rPr>
        <w:t>备考精囊之</w:t>
      </w:r>
      <w:r>
        <w:rPr>
          <w:rFonts w:hint="eastAsia"/>
          <w:b/>
          <w:sz w:val="36"/>
          <w:szCs w:val="36"/>
          <w:lang w:val="en-US" w:eastAsia="zh-CN"/>
        </w:rPr>
        <w:t>：</w:t>
      </w:r>
      <w:r>
        <w:rPr>
          <w:rFonts w:hint="eastAsia"/>
          <w:b/>
          <w:sz w:val="36"/>
          <w:szCs w:val="36"/>
        </w:rPr>
        <w:t>Fixed Income</w:t>
      </w:r>
    </w:p>
    <w:p>
      <w:pPr>
        <w:ind w:firstLine="425" w:firstLineChars="177"/>
        <w:jc w:val="left"/>
      </w:pPr>
      <w:r>
        <w:rPr>
          <w:rFonts w:hint="eastAsia"/>
          <w:color w:val="0000FF"/>
          <w:lang w:eastAsia="zh-CN"/>
        </w:rPr>
        <w:t>对于</w:t>
      </w:r>
      <w:r>
        <w:rPr>
          <w:color w:val="0000FF"/>
        </w:rPr>
        <w:t>CFA</w:t>
      </w:r>
      <w:r>
        <w:rPr>
          <w:rFonts w:hint="eastAsia"/>
          <w:color w:val="0000FF"/>
        </w:rPr>
        <w:t>一级的</w:t>
      </w:r>
      <w:r>
        <w:rPr>
          <w:rFonts w:hint="eastAsia"/>
          <w:color w:val="0000FF"/>
          <w:lang w:eastAsia="zh-CN"/>
        </w:rPr>
        <w:t>考生来说，占比为</w:t>
      </w:r>
      <w:r>
        <w:rPr>
          <w:rFonts w:hint="eastAsia"/>
          <w:color w:val="0000FF"/>
          <w:lang w:val="en-US" w:eastAsia="zh-CN"/>
        </w:rPr>
        <w:t>10%的</w:t>
      </w:r>
      <w:r>
        <w:rPr>
          <w:rFonts w:hint="eastAsia"/>
        </w:rPr>
        <w:t>Fixed Income（固定收益）</w:t>
      </w:r>
      <w:r>
        <w:rPr>
          <w:rFonts w:hint="eastAsia"/>
          <w:color w:val="0000FF"/>
          <w:lang w:eastAsia="zh-CN"/>
        </w:rPr>
        <w:t>可算是最难啃的一块“骨头”了。这部分内容是当之无愧最难的</w:t>
      </w:r>
      <w:r>
        <w:rPr>
          <w:rFonts w:hint="eastAsia"/>
          <w:color w:val="0000FF"/>
        </w:rPr>
        <w:t>课程之一。</w:t>
      </w:r>
      <w:r>
        <w:rPr>
          <w:rFonts w:hint="eastAsia"/>
        </w:rPr>
        <w:t>另外，由于日常生活和工作中固定收益产品与市场的信息会比较少，因此很多</w:t>
      </w:r>
      <w:r>
        <w:rPr>
          <w:rFonts w:hint="eastAsia"/>
          <w:lang w:eastAsia="zh-CN"/>
        </w:rPr>
        <w:t>考生</w:t>
      </w:r>
      <w:r>
        <w:rPr>
          <w:rFonts w:hint="eastAsia"/>
        </w:rPr>
        <w:t>学习这门课的时候会感觉难度比较大。</w:t>
      </w:r>
    </w:p>
    <w:p>
      <w:pPr>
        <w:ind w:firstLine="425" w:firstLineChars="177"/>
        <w:jc w:val="left"/>
        <w:rPr>
          <w:rFonts w:hint="eastAsia"/>
        </w:rPr>
      </w:pPr>
      <w:r>
        <w:rPr>
          <w:rFonts w:hint="eastAsia"/>
          <w:color w:val="0000FF"/>
          <w:lang w:eastAsia="zh-CN"/>
        </w:rPr>
        <w:t>高顿</w:t>
      </w:r>
      <w:r>
        <w:rPr>
          <w:rFonts w:hint="eastAsia"/>
          <w:color w:val="0000FF"/>
          <w:lang w:val="en-US" w:eastAsia="zh-CN"/>
        </w:rPr>
        <w:t>CFA</w:t>
      </w:r>
      <w:r>
        <w:rPr>
          <w:rFonts w:hint="eastAsia"/>
          <w:color w:val="0000FF"/>
          <w:lang w:eastAsia="zh-CN"/>
        </w:rPr>
        <w:t>研究院</w:t>
      </w:r>
      <w:r>
        <w:rPr>
          <w:rFonts w:hint="eastAsia"/>
          <w:color w:val="0000FF"/>
          <w:lang w:val="en-US" w:eastAsia="zh-CN"/>
        </w:rPr>
        <w:t>提醒考生</w:t>
      </w:r>
      <w:r>
        <w:rPr>
          <w:rFonts w:hint="eastAsia"/>
          <w:color w:val="0000FF"/>
        </w:rPr>
        <w:t>，</w:t>
      </w:r>
      <w:r>
        <w:rPr>
          <w:rFonts w:hint="eastAsia"/>
        </w:rPr>
        <w:t>固定收益类资产占整个金融资产的比例超过60%。不管是从融资，还是从投资的角度，固定收益类的都是主要的方式。就算是日常生活中，也是息息相关的，例如买房子的时候，找银行借的房贷，就是典型的固定收益类产品。</w:t>
      </w:r>
      <w:r>
        <w:rPr>
          <w:rFonts w:hint="eastAsia"/>
          <w:color w:val="0000FF"/>
          <w:lang w:eastAsia="zh-CN"/>
        </w:rPr>
        <w:t>因此，这部分的学习还是很值得我们重视的。</w:t>
      </w:r>
    </w:p>
    <w:p>
      <w:pPr>
        <w:ind w:firstLine="425" w:firstLineChars="177"/>
        <w:jc w:val="left"/>
      </w:pPr>
      <w:r>
        <w:rPr>
          <w:rFonts w:hint="eastAsia"/>
        </w:rPr>
        <w:t xml:space="preserve">CFA一级的Fixed Income包括2个study </w:t>
      </w:r>
      <w:r>
        <w:t>session</w:t>
      </w:r>
      <w:r>
        <w:rPr>
          <w:rFonts w:hint="eastAsia"/>
        </w:rPr>
        <w:t>，一共6个reading，分别是：</w:t>
      </w:r>
    </w:p>
    <w:p>
      <w:pPr>
        <w:numPr>
          <w:ilvl w:val="0"/>
          <w:numId w:val="1"/>
        </w:numPr>
        <w:ind w:left="709" w:leftChars="178" w:hanging="282" w:hangingChars="117"/>
        <w:jc w:val="left"/>
        <w:rPr>
          <w:b/>
          <w:bCs/>
        </w:rPr>
      </w:pPr>
      <w:r>
        <w:rPr>
          <w:b/>
          <w:bCs/>
        </w:rPr>
        <w:t>Study Session 15: Basic Concepts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52: Fixed-Income Securities: Defining Elements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53: Fixed-Income Markets: Issuance, Trading, and Funding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54: Introduction to Fixed-Income Valuation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55: Introduction to Asset-Backed Securities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ind w:left="709" w:leftChars="178" w:hanging="282" w:hangingChars="117"/>
        <w:jc w:val="left"/>
        <w:rPr>
          <w:b/>
          <w:bCs/>
        </w:rPr>
      </w:pPr>
      <w:r>
        <w:rPr>
          <w:b/>
          <w:bCs/>
        </w:rPr>
        <w:t>Study Session 16: Analysis of Risk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56:Understanding Fixed-Income Risk and Return</w:t>
      </w:r>
    </w:p>
    <w:p>
      <w:pPr>
        <w:numPr>
          <w:ilvl w:val="0"/>
          <w:numId w:val="2"/>
        </w:numPr>
        <w:tabs>
          <w:tab w:val="left" w:pos="993"/>
          <w:tab w:val="clear" w:pos="720"/>
        </w:tabs>
        <w:ind w:left="991" w:leftChars="295" w:hanging="283" w:hangingChars="118"/>
        <w:jc w:val="left"/>
        <w:rPr>
          <w:bCs/>
        </w:rPr>
      </w:pPr>
      <w:r>
        <w:rPr>
          <w:bCs/>
        </w:rPr>
        <w:t>Reading 57: Fundamentals of Credit Analysis</w:t>
      </w:r>
    </w:p>
    <w:p>
      <w:pPr>
        <w:ind w:firstLine="425" w:firstLineChars="177"/>
        <w:jc w:val="left"/>
      </w:pPr>
      <w:r>
        <w:rPr>
          <w:rFonts w:hint="eastAsia"/>
          <w:lang w:eastAsia="zh-CN"/>
        </w:rPr>
        <w:t>其中，</w:t>
      </w:r>
      <w:r>
        <w:rPr>
          <w:rFonts w:hint="eastAsia"/>
        </w:rPr>
        <w:t>Reading 52、Reading 54和Reading 55讲的是产品与市场。主要包括三大类固定收益产品：政府相关债权、公司债和资产支持债券；以及固定收益市场：主要包括债券的发行与交易。Reading 54主要讲的是债券的定价和收益。Reading 56和Reading 57是讲解债券最重要的两种风险：利率风险和信用风险。</w:t>
      </w:r>
    </w:p>
    <w:p>
      <w:pPr>
        <w:ind w:firstLine="425" w:firstLineChars="177"/>
        <w:jc w:val="left"/>
      </w:pPr>
      <w:r>
        <w:rPr>
          <w:rFonts w:hint="eastAsia"/>
          <w:lang w:eastAsia="zh-CN"/>
        </w:rPr>
        <w:t>高顿</w:t>
      </w:r>
      <w:r>
        <w:rPr>
          <w:rFonts w:hint="eastAsia"/>
          <w:lang w:val="en-US" w:eastAsia="zh-CN"/>
        </w:rPr>
        <w:t>CFA研究院</w:t>
      </w:r>
      <w:r>
        <w:rPr>
          <w:rFonts w:hint="eastAsia"/>
          <w:color w:val="0000FF"/>
          <w:lang w:val="en-US" w:eastAsia="zh-CN"/>
        </w:rPr>
        <w:t>指出，</w:t>
      </w:r>
      <w:r>
        <w:rPr>
          <w:rFonts w:hint="eastAsia"/>
        </w:rPr>
        <w:t>从考试的重要度来看，Reading 54和Reading 56是最重要的，Reading 52和Reading 55其次，Reading 53和Reading 57最不重要。Reading的重要考点总结</w:t>
      </w:r>
      <w:r>
        <w:rPr>
          <w:rFonts w:hint="eastAsia"/>
          <w:color w:val="0000FF"/>
          <w:lang w:eastAsia="zh-CN"/>
        </w:rPr>
        <w:t>如下，供各位考生学习参考</w:t>
      </w:r>
      <w:bookmarkStart w:id="0" w:name="_GoBack"/>
      <w:bookmarkEnd w:id="0"/>
      <w:r>
        <w:rPr>
          <w:rFonts w:hint="eastAsia"/>
        </w:rPr>
        <w:t>：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52: Fixed-Income Securities: Defining Elements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  <w:rPr>
          <w:rFonts w:hint="eastAsia"/>
        </w:rPr>
      </w:pPr>
      <w:r>
        <w:rPr>
          <w:rFonts w:hint="eastAsia"/>
        </w:rPr>
        <w:t>债券的五个basic features；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债券的cash flow structure的设计，包括本金和票息；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债券的内嵌期权(</w:t>
      </w:r>
      <w:r>
        <w:t>embedded</w:t>
      </w:r>
      <w:r>
        <w:rPr>
          <w:rFonts w:hint="eastAsia"/>
        </w:rPr>
        <w:t xml:space="preserve"> option)，包括call、put和convertible。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53: Fixed-Income Markets: Issuance, Trading, and Funding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债券一级市场（Primary market）的发行机制；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回购（Repo）的定义，影响repo rate和repo margin的因素。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54: Introduction to Fixed-Income Valuation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利用单个折现率、即期利率、远期利率给债券定价的方法和计算；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到期收益率（YTM）、赎回收益率（YTC）；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应计利息（AI）、净价格、全价格；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991" w:leftChars="295" w:hanging="283" w:hangingChars="118"/>
        <w:jc w:val="left"/>
      </w:pPr>
      <w:r>
        <w:rPr>
          <w:rFonts w:hint="eastAsia"/>
        </w:rPr>
        <w:t>即期利率（spot rate）跟远期利率（forward rate）之间的换算。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55: Introduction to Asset-Backed Securities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Mortgage的特征；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MBS提前偿付风险的定义、性质与衡量；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CMO分层后，各层的风险特征。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56:Understanding Fixed-Income Risk and Return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债券回报的来源，利率风险的分类；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久期(Duration)的定义，类别，影响久期大小的因素；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1133" w:leftChars="295" w:hanging="425" w:hangingChars="177"/>
        <w:jc w:val="left"/>
      </w:pPr>
      <w:r>
        <w:rPr>
          <w:rFonts w:hint="eastAsia"/>
        </w:rPr>
        <w:t>凸度及凸度效应；</w:t>
      </w:r>
    </w:p>
    <w:p>
      <w:pPr>
        <w:numPr>
          <w:ilvl w:val="0"/>
          <w:numId w:val="3"/>
        </w:numPr>
        <w:tabs>
          <w:tab w:val="left" w:pos="426"/>
          <w:tab w:val="clear" w:pos="720"/>
        </w:tabs>
        <w:ind w:left="-2" w:leftChars="-1" w:firstLine="428"/>
        <w:jc w:val="left"/>
        <w:rPr>
          <w:b/>
          <w:bCs/>
        </w:rPr>
      </w:pPr>
      <w:r>
        <w:rPr>
          <w:b/>
          <w:bCs/>
        </w:rPr>
        <w:t>Reading 57: Fundamentals of Credit Analysis</w:t>
      </w:r>
    </w:p>
    <w:p>
      <w:pPr>
        <w:numPr>
          <w:ilvl w:val="0"/>
          <w:numId w:val="4"/>
        </w:numPr>
        <w:tabs>
          <w:tab w:val="left" w:pos="993"/>
          <w:tab w:val="clear" w:pos="720"/>
        </w:tabs>
        <w:ind w:left="0" w:firstLine="708" w:firstLineChars="295"/>
        <w:jc w:val="left"/>
      </w:pPr>
      <w:r>
        <w:rPr>
          <w:rFonts w:hint="eastAsia"/>
        </w:rPr>
        <w:t>信用风险的4C分析。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MingLiU">
    <w:panose1 w:val="02020300000000000000"/>
    <w:charset w:val="88"/>
    <w:family w:val="roman"/>
    <w:pitch w:val="default"/>
    <w:sig w:usb0="00000003" w:usb1="082E0000" w:usb2="00000016" w:usb3="00000000" w:csb0="00100001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">
    <w:altName w:val="Lucida Sans Unicode"/>
    <w:panose1 w:val="020B0602040502020204"/>
    <w:charset w:val="00"/>
    <w:family w:val="auto"/>
    <w:pitch w:val="default"/>
    <w:sig w:usb0="00000000" w:usb1="00000000" w:usb2="00000000" w:usb3="00000000" w:csb0="00000000" w:csb1="00000000"/>
  </w:font>
  <w:font w:name="Shruti">
    <w:panose1 w:val="02000500000000000000"/>
    <w:charset w:val="00"/>
    <w:family w:val="roman"/>
    <w:pitch w:val="default"/>
    <w:sig w:usb0="00040000" w:usb1="00000000" w:usb2="00000000" w:usb3="00000000" w:csb0="0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sdt>
      <w:sdtPr>
        <w:rPr>
          <w:kern w:val="0"/>
        </w:rPr>
        <w:alias w:val="公司"/>
        <w:id w:val="76161118"/>
        <w:placeholder>
          <w:docPart w:val="096CBB6B253040F88CEB0213ED244861"/>
        </w:placeholder>
        <w15:dataBinding w:prefixMappings="xmlns:ns0='http://schemas.openxmlformats.org/officeDocument/2006/extended-properties'" w:xpath="/ns0:Properties[1]/ns0:Company[1]" w:storeItemID="{6668398D-A668-4E3E-A5EB-62B293D839F1}"/>
        <w:text/>
      </w:sdtPr>
      <w:sdtEndPr>
        <w:rPr>
          <w:kern w:val="0"/>
        </w:rPr>
      </w:sdtEndPr>
      <w:sdtContent>
        <w:r>
          <w:rPr>
            <w:rFonts w:hint="eastAsia"/>
            <w:kern w:val="0"/>
          </w:rPr>
          <w:t>咨询：400-600-8011  邮箱：cfa@gaodun.cn  网站：finance.gaodun.cn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-994" w:leftChars="-414"/>
      <w:jc w:val="left"/>
    </w:pPr>
    <w:r>
      <w:pict>
        <v:shape id="_x0000_s13313" o:spid="_x0000_s13313" o:spt="202" type="#_x0000_t202" style="position:absolute;left:0pt;margin-left:275.25pt;margin-top:-3.55pt;height:40.5pt;width:173.4pt;z-index:251658240;mso-width-relative:margin;mso-height-relative:margin;" filled="f" stroked="f" coordsize="21600,21600">
          <v:path/>
          <v:fill on="f" focussize="0,0"/>
          <v:stroke on="f" color="#FFFFFF [3212]" joinstyle="miter"/>
          <v:imagedata o:title=""/>
          <o:lock v:ext="edit"/>
          <v:textbox>
            <w:txbxContent>
              <w:p>
                <w:pPr>
                  <w:jc w:val="center"/>
                </w:pPr>
                <w:r>
                  <w:rPr>
                    <w:rFonts w:hint="eastAsia" w:ascii="黑体" w:eastAsia="黑体"/>
                  </w:rPr>
                  <w:t>全球财经教育领导品牌</w:t>
                </w:r>
                <w:r>
                  <w:br w:type="textWrapping"/>
                </w:r>
                <w:r>
                  <w:rPr>
                    <w:rFonts w:ascii="Arial Unicode MS" w:hAnsi="Arial Unicode MS" w:eastAsia="Arial Unicode MS" w:cs="Arial Unicode MS"/>
                  </w:rPr>
                  <w:t>http://</w:t>
                </w:r>
                <w:r>
                  <w:rPr>
                    <w:rFonts w:hint="eastAsia" w:ascii="Arial Unicode MS" w:hAnsi="Arial Unicode MS" w:eastAsia="Arial Unicode MS" w:cs="Arial Unicode MS"/>
                  </w:rPr>
                  <w:t>finance</w:t>
                </w:r>
                <w:r>
                  <w:rPr>
                    <w:rFonts w:ascii="Arial Unicode MS" w:hAnsi="Arial Unicode MS" w:eastAsia="Arial Unicode MS" w:cs="Arial Unicode MS"/>
                  </w:rPr>
                  <w:t>.gaodun.cn</w:t>
                </w:r>
              </w:p>
            </w:txbxContent>
          </v:textbox>
        </v:shape>
      </w:pict>
    </w:r>
    <w:r>
      <w:drawing>
        <wp:inline distT="0" distB="0" distL="0" distR="0">
          <wp:extent cx="3510280" cy="485140"/>
          <wp:effectExtent l="0" t="0" r="0" b="0"/>
          <wp:docPr id="2" name="图片 1" descr="cfa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cfa-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1365" cy="48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538D9"/>
    <w:multiLevelType w:val="multilevel"/>
    <w:tmpl w:val="212538D9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02D23EC"/>
    <w:multiLevelType w:val="multilevel"/>
    <w:tmpl w:val="502D23EC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5A1E6B8A"/>
    <w:multiLevelType w:val="multilevel"/>
    <w:tmpl w:val="5A1E6B8A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3">
    <w:nsid w:val="6C542441"/>
    <w:multiLevelType w:val="multilevel"/>
    <w:tmpl w:val="6C542441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layout v:ext="edit">
      <o:idmap v:ext="edit" data="1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329"/>
    <w:rsid w:val="00021087"/>
    <w:rsid w:val="00040247"/>
    <w:rsid w:val="0007726C"/>
    <w:rsid w:val="00147996"/>
    <w:rsid w:val="001721ED"/>
    <w:rsid w:val="001C1266"/>
    <w:rsid w:val="001C70F5"/>
    <w:rsid w:val="001D7DD5"/>
    <w:rsid w:val="001E0802"/>
    <w:rsid w:val="00211395"/>
    <w:rsid w:val="00231181"/>
    <w:rsid w:val="00252F93"/>
    <w:rsid w:val="00301196"/>
    <w:rsid w:val="003148BE"/>
    <w:rsid w:val="003A2BC5"/>
    <w:rsid w:val="003B592F"/>
    <w:rsid w:val="003B5A1C"/>
    <w:rsid w:val="003C6EDC"/>
    <w:rsid w:val="004137A8"/>
    <w:rsid w:val="00415F1E"/>
    <w:rsid w:val="00417720"/>
    <w:rsid w:val="0045708D"/>
    <w:rsid w:val="004A660E"/>
    <w:rsid w:val="004A76AF"/>
    <w:rsid w:val="004B398C"/>
    <w:rsid w:val="00547703"/>
    <w:rsid w:val="005514D3"/>
    <w:rsid w:val="00561912"/>
    <w:rsid w:val="005831CE"/>
    <w:rsid w:val="005D5C1F"/>
    <w:rsid w:val="00655924"/>
    <w:rsid w:val="00684E6B"/>
    <w:rsid w:val="00690707"/>
    <w:rsid w:val="006A5818"/>
    <w:rsid w:val="006C6D96"/>
    <w:rsid w:val="007150C7"/>
    <w:rsid w:val="00743908"/>
    <w:rsid w:val="00754F63"/>
    <w:rsid w:val="007B47DC"/>
    <w:rsid w:val="007D57BB"/>
    <w:rsid w:val="00817D79"/>
    <w:rsid w:val="00824D42"/>
    <w:rsid w:val="008513C8"/>
    <w:rsid w:val="00874329"/>
    <w:rsid w:val="008A107B"/>
    <w:rsid w:val="008E3406"/>
    <w:rsid w:val="008E54AF"/>
    <w:rsid w:val="008F24B7"/>
    <w:rsid w:val="009007F1"/>
    <w:rsid w:val="00931A5B"/>
    <w:rsid w:val="009428B3"/>
    <w:rsid w:val="009459C7"/>
    <w:rsid w:val="00946DA7"/>
    <w:rsid w:val="009731C0"/>
    <w:rsid w:val="009A4250"/>
    <w:rsid w:val="009B26FF"/>
    <w:rsid w:val="00A237D2"/>
    <w:rsid w:val="00A33701"/>
    <w:rsid w:val="00A76F4F"/>
    <w:rsid w:val="00AC14B0"/>
    <w:rsid w:val="00AF6D09"/>
    <w:rsid w:val="00B557C9"/>
    <w:rsid w:val="00B73B6C"/>
    <w:rsid w:val="00BB30FE"/>
    <w:rsid w:val="00BB7946"/>
    <w:rsid w:val="00BE262F"/>
    <w:rsid w:val="00BF5274"/>
    <w:rsid w:val="00C5040E"/>
    <w:rsid w:val="00C70EE5"/>
    <w:rsid w:val="00CB2262"/>
    <w:rsid w:val="00CE6E7B"/>
    <w:rsid w:val="00D3702F"/>
    <w:rsid w:val="00DA668A"/>
    <w:rsid w:val="00DB496D"/>
    <w:rsid w:val="00DC1BA2"/>
    <w:rsid w:val="00DC6A8D"/>
    <w:rsid w:val="00E06B6D"/>
    <w:rsid w:val="00E30527"/>
    <w:rsid w:val="00E50690"/>
    <w:rsid w:val="00E54552"/>
    <w:rsid w:val="00E86BE2"/>
    <w:rsid w:val="00EA5023"/>
    <w:rsid w:val="00F03D0A"/>
    <w:rsid w:val="00F15B9F"/>
    <w:rsid w:val="00F50031"/>
    <w:rsid w:val="00F55300"/>
    <w:rsid w:val="00F63F36"/>
    <w:rsid w:val="00F82D15"/>
    <w:rsid w:val="00F9367D"/>
    <w:rsid w:val="00FB1346"/>
    <w:rsid w:val="00FD4F58"/>
    <w:rsid w:val="24CD5757"/>
    <w:rsid w:val="51787B6D"/>
    <w:rsid w:val="7B930B7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96CBB6B253040F88CEB0213ED24486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1C213-7593-4E6D-B135-23F5024E3E12}"/>
      </w:docPartPr>
      <w:docPartBody>
        <w:p>
          <w:pPr>
            <w:pStyle w:val="6"/>
          </w:pPr>
          <w:r>
            <w:rPr>
              <w:color w:val="7E7E7E" w:themeColor="background1" w:themeShade="7F"/>
              <w:lang w:val="zh-CN"/>
            </w:rPr>
            <w:t>[键入公司名称]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egoe UI Symbol">
    <w:altName w:val="Symbol"/>
    <w:panose1 w:val="020B0502040204020203"/>
    <w:charset w:val="00"/>
    <w:family w:val="auto"/>
    <w:pitch w:val="default"/>
    <w:sig w:usb0="00000000" w:usb1="00000000" w:usb2="0004C000" w:usb3="00000000" w:csb0="00000001" w:csb1="40000000"/>
  </w:font>
  <w:font w:name="PMingLiU">
    <w:panose1 w:val="02020300000000000000"/>
    <w:charset w:val="88"/>
    <w:family w:val="auto"/>
    <w:pitch w:val="default"/>
    <w:sig w:usb0="00000003" w:usb1="082E0000" w:usb2="00000016" w:usb3="00000000" w:csb0="00100001" w:csb1="00000000"/>
  </w:font>
  <w:font w:name="Segoe UI">
    <w:altName w:val="Shruti"/>
    <w:panose1 w:val="020B0502040204020203"/>
    <w:charset w:val="00"/>
    <w:family w:val="auto"/>
    <w:pitch w:val="default"/>
    <w:sig w:usb0="00000000" w:usb1="00000000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3112"/>
    <w:rsid w:val="003123AE"/>
    <w:rsid w:val="00E471EB"/>
    <w:rsid w:val="00E53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7BC088F528E443097476B99607489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9860675B12DA4A548248A5AE746E55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96CBB6B253040F88CEB0213ED2448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331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36627-1EB0-43C7-AD71-CD67C25B25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咨询：400-600-8011  邮箱：cfa@gaodun.cn  网站：finance.gaodun.cn</Company>
  <Pages>2</Pages>
  <Words>250</Words>
  <Characters>1426</Characters>
  <Lines>11</Lines>
  <Paragraphs>3</Paragraphs>
  <ScaleCrop>false</ScaleCrop>
  <LinksUpToDate>false</LinksUpToDate>
  <CharactersWithSpaces>1673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2015-04-01T07:57:00Z</dcterms:created>
  <dc:creator>杰 袁</dc:creator>
  <cp:lastModifiedBy>gaodun</cp:lastModifiedBy>
  <dcterms:modified xsi:type="dcterms:W3CDTF">2016-08-05T01:51:57Z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