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86" w:rsidRDefault="005A7B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Corporate Finance</w:t>
      </w:r>
    </w:p>
    <w:p w:rsidR="00F95386" w:rsidRDefault="005A7B80">
      <w:pPr>
        <w:spacing w:before="240"/>
        <w:rPr>
          <w:sz w:val="23"/>
          <w:szCs w:val="23"/>
        </w:rPr>
      </w:pPr>
      <w:r>
        <w:rPr>
          <w:rFonts w:hint="eastAsia"/>
          <w:sz w:val="23"/>
          <w:szCs w:val="23"/>
        </w:rPr>
        <w:t>1</w:t>
      </w:r>
      <w:r>
        <w:rPr>
          <w:sz w:val="23"/>
          <w:szCs w:val="23"/>
        </w:rPr>
        <w:t>. A company is considering building a distribution center on undeveloped land that it acquired more than ten years ago at a cost of $400,000. The company estimates the cost of putting in utilities, sewers, roads and other such costs of preparing the land f</w:t>
      </w:r>
      <w:r>
        <w:rPr>
          <w:sz w:val="23"/>
          <w:szCs w:val="23"/>
        </w:rPr>
        <w:t xml:space="preserve">or the distribution center at $200,000. Alternatively, the undeveloped land could be sold today to another company for $600,000. In evaluating this capital project, the investment outlay associated with the use of the land by the distribution center will </w:t>
      </w:r>
      <w:r>
        <w:rPr>
          <w:i/>
          <w:sz w:val="23"/>
          <w:szCs w:val="23"/>
        </w:rPr>
        <w:t>m</w:t>
      </w:r>
      <w:r>
        <w:rPr>
          <w:i/>
          <w:sz w:val="23"/>
          <w:szCs w:val="23"/>
        </w:rPr>
        <w:t>ost likely</w:t>
      </w:r>
      <w:r>
        <w:rPr>
          <w:sz w:val="23"/>
          <w:szCs w:val="23"/>
        </w:rPr>
        <w:t xml:space="preserve"> be: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$400,000.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$600,000.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$800,000.</w:t>
      </w: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C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The investment outlay associated with the use of the land should reflect the opportunity cost of the foregone sale ($600,000) plus the incremental cost of preparing the land for use as a dist</w:t>
      </w:r>
      <w:r>
        <w:rPr>
          <w:sz w:val="23"/>
          <w:szCs w:val="23"/>
        </w:rPr>
        <w:t>ribution center ($200,000). $600,000 plus $200,000 equals $800,000.</w:t>
      </w:r>
    </w:p>
    <w:p w:rsidR="00F95386" w:rsidRDefault="00596ECF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24960" behindDoc="1" locked="0" layoutInCell="1" allowOverlap="1">
            <wp:simplePos x="0" y="0"/>
            <wp:positionH relativeFrom="column">
              <wp:posOffset>4582844</wp:posOffset>
            </wp:positionH>
            <wp:positionV relativeFrom="paragraph">
              <wp:posOffset>32678</wp:posOffset>
            </wp:positionV>
            <wp:extent cx="1294081" cy="123431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81" cy="12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spacing w:afterLines="50" w:after="156"/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. A project has the following annual cash flows:</w:t>
      </w:r>
    </w:p>
    <w:tbl>
      <w:tblPr>
        <w:tblStyle w:val="a9"/>
        <w:tblW w:w="666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843"/>
        <w:gridCol w:w="1559"/>
      </w:tblGrid>
      <w:tr w:rsidR="00F95386">
        <w:tc>
          <w:tcPr>
            <w:tcW w:w="1701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 0:  </w:t>
            </w:r>
          </w:p>
        </w:tc>
        <w:tc>
          <w:tcPr>
            <w:tcW w:w="1559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 1:   </w:t>
            </w:r>
          </w:p>
        </w:tc>
        <w:tc>
          <w:tcPr>
            <w:tcW w:w="1843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 2:   </w:t>
            </w:r>
          </w:p>
        </w:tc>
        <w:tc>
          <w:tcPr>
            <w:tcW w:w="1559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Year </w:t>
            </w:r>
            <w:r>
              <w:rPr>
                <w:rFonts w:hint="eastAsia"/>
                <w:sz w:val="23"/>
                <w:szCs w:val="23"/>
              </w:rPr>
              <w:t>3</w:t>
            </w:r>
          </w:p>
        </w:tc>
      </w:tr>
      <w:tr w:rsidR="00F95386">
        <w:tc>
          <w:tcPr>
            <w:tcW w:w="1701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-$</w:t>
            </w:r>
            <w:r>
              <w:rPr>
                <w:rFonts w:hint="eastAsia"/>
                <w:sz w:val="23"/>
                <w:szCs w:val="23"/>
              </w:rPr>
              <w:t>606,061</w:t>
            </w:r>
          </w:p>
        </w:tc>
        <w:tc>
          <w:tcPr>
            <w:tcW w:w="1559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$2</w:t>
            </w:r>
            <w:r>
              <w:rPr>
                <w:rFonts w:hint="eastAsia"/>
                <w:sz w:val="23"/>
                <w:szCs w:val="23"/>
              </w:rPr>
              <w:t>,151,515</w:t>
            </w:r>
          </w:p>
        </w:tc>
        <w:tc>
          <w:tcPr>
            <w:tcW w:w="1843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-$</w:t>
            </w:r>
            <w:r>
              <w:rPr>
                <w:rFonts w:hint="eastAsia"/>
                <w:sz w:val="23"/>
                <w:szCs w:val="23"/>
              </w:rPr>
              <w:t>2,542424</w:t>
            </w:r>
          </w:p>
        </w:tc>
        <w:tc>
          <w:tcPr>
            <w:tcW w:w="1559" w:type="dxa"/>
          </w:tcPr>
          <w:p w:rsidR="00F95386" w:rsidRDefault="005A7B8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</w:t>
            </w:r>
            <w:r>
              <w:rPr>
                <w:rFonts w:hint="eastAsia"/>
                <w:sz w:val="23"/>
                <w:szCs w:val="23"/>
              </w:rPr>
              <w:t>1,000,000</w:t>
            </w:r>
            <w:r>
              <w:rPr>
                <w:sz w:val="23"/>
                <w:szCs w:val="23"/>
              </w:rPr>
              <w:t xml:space="preserve">  </w:t>
            </w:r>
          </w:p>
        </w:tc>
      </w:tr>
    </w:tbl>
    <w:p w:rsidR="00F95386" w:rsidRDefault="005A7B80">
      <w:pPr>
        <w:spacing w:beforeLines="50" w:before="156"/>
        <w:rPr>
          <w:sz w:val="23"/>
          <w:szCs w:val="23"/>
        </w:rPr>
      </w:pPr>
      <w:r>
        <w:rPr>
          <w:sz w:val="23"/>
          <w:szCs w:val="23"/>
        </w:rPr>
        <w:t xml:space="preserve">Which discount rate </w:t>
      </w:r>
      <w:r>
        <w:rPr>
          <w:i/>
          <w:sz w:val="23"/>
          <w:szCs w:val="23"/>
        </w:rPr>
        <w:t xml:space="preserve">most likely </w:t>
      </w:r>
      <w:r>
        <w:rPr>
          <w:sz w:val="23"/>
          <w:szCs w:val="23"/>
        </w:rPr>
        <w:t xml:space="preserve">provides a </w:t>
      </w:r>
      <w:r>
        <w:rPr>
          <w:sz w:val="23"/>
          <w:szCs w:val="23"/>
        </w:rPr>
        <w:t>positive net present value?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15%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18%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21%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spacing w:afterLines="50" w:after="156"/>
        <w:rPr>
          <w:sz w:val="23"/>
          <w:szCs w:val="23"/>
        </w:rPr>
      </w:pPr>
      <w:r>
        <w:rPr>
          <w:b/>
          <w:bCs/>
          <w:sz w:val="23"/>
          <w:szCs w:val="23"/>
        </w:rPr>
        <w:t>Answer = C</w:t>
      </w:r>
    </w:p>
    <w:tbl>
      <w:tblPr>
        <w:tblStyle w:val="a9"/>
        <w:tblW w:w="960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559"/>
        <w:gridCol w:w="1560"/>
        <w:gridCol w:w="1559"/>
        <w:gridCol w:w="2410"/>
      </w:tblGrid>
      <w:tr w:rsidR="00F95386">
        <w:trPr>
          <w:jc w:val="center"/>
        </w:trPr>
        <w:tc>
          <w:tcPr>
            <w:tcW w:w="1101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417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Cash flow</w:t>
            </w:r>
          </w:p>
        </w:tc>
        <w:tc>
          <w:tcPr>
            <w:tcW w:w="1559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K=15%</w:t>
            </w:r>
          </w:p>
        </w:tc>
        <w:tc>
          <w:tcPr>
            <w:tcW w:w="1560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K=18%</w:t>
            </w:r>
          </w:p>
        </w:tc>
        <w:tc>
          <w:tcPr>
            <w:tcW w:w="1559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K=21%</w:t>
            </w:r>
          </w:p>
        </w:tc>
        <w:tc>
          <w:tcPr>
            <w:tcW w:w="2410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Calculation</w:t>
            </w: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-606,061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-606,061</w:t>
            </w:r>
          </w:p>
        </w:tc>
        <w:tc>
          <w:tcPr>
            <w:tcW w:w="156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-606,061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-606,061</w:t>
            </w:r>
          </w:p>
        </w:tc>
        <w:tc>
          <w:tcPr>
            <w:tcW w:w="241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-606,061</w:t>
            </w: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2,151,515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1,870,882.6</w:t>
            </w:r>
          </w:p>
        </w:tc>
        <w:tc>
          <w:tcPr>
            <w:tcW w:w="156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1,823,317.8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1,778,111.6</w:t>
            </w:r>
          </w:p>
        </w:tc>
        <w:tc>
          <w:tcPr>
            <w:tcW w:w="241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+2,151,515/(1+k)</w:t>
            </w: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-2,542,424</w:t>
            </w:r>
          </w:p>
        </w:tc>
        <w:tc>
          <w:tcPr>
            <w:tcW w:w="1559" w:type="dxa"/>
          </w:tcPr>
          <w:p w:rsidR="00F95386" w:rsidRDefault="005A7B8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–1,922,437.8</w:t>
            </w:r>
          </w:p>
        </w:tc>
        <w:tc>
          <w:tcPr>
            <w:tcW w:w="1560" w:type="dxa"/>
          </w:tcPr>
          <w:p w:rsidR="00F95386" w:rsidRDefault="005A7B8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–1,825,929.3</w:t>
            </w:r>
          </w:p>
        </w:tc>
        <w:tc>
          <w:tcPr>
            <w:tcW w:w="1559" w:type="dxa"/>
          </w:tcPr>
          <w:p w:rsidR="00F95386" w:rsidRDefault="005A7B8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–1,736,509.8</w:t>
            </w:r>
          </w:p>
        </w:tc>
        <w:tc>
          <w:tcPr>
            <w:tcW w:w="2410" w:type="dxa"/>
          </w:tcPr>
          <w:p w:rsidR="00F95386" w:rsidRDefault="005A7B8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–2,542,424 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 + K)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1,000,000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657,516.2</w:t>
            </w:r>
          </w:p>
        </w:tc>
        <w:tc>
          <w:tcPr>
            <w:tcW w:w="156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608,630.9</w:t>
            </w:r>
          </w:p>
        </w:tc>
        <w:tc>
          <w:tcPr>
            <w:tcW w:w="1559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564,473.9</w:t>
            </w:r>
          </w:p>
        </w:tc>
        <w:tc>
          <w:tcPr>
            <w:tcW w:w="2410" w:type="dxa"/>
          </w:tcPr>
          <w:p w:rsidR="00F95386" w:rsidRDefault="005A7B80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+1,000,000 </w:t>
            </w:r>
            <w:proofErr w:type="gramStart"/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</w:rPr>
              <w:t>1 + K)</w:t>
            </w:r>
            <w:r>
              <w:rPr>
                <w:rFonts w:ascii="Calibri" w:hAnsi="Calibri" w:cs="Calibri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F95386">
            <w:pPr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F95386" w:rsidRDefault="00F95386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</w:tcPr>
          <w:p w:rsidR="00F95386" w:rsidRDefault="00F95386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</w:tcPr>
          <w:p w:rsidR="00F95386" w:rsidRDefault="00F95386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</w:tcPr>
          <w:p w:rsidR="00F95386" w:rsidRDefault="00F95386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</w:tcPr>
          <w:p w:rsidR="00F95386" w:rsidRDefault="00F95386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</w:tr>
      <w:tr w:rsidR="00F95386">
        <w:trPr>
          <w:jc w:val="center"/>
        </w:trPr>
        <w:tc>
          <w:tcPr>
            <w:tcW w:w="1101" w:type="dxa"/>
          </w:tcPr>
          <w:p w:rsidR="00F95386" w:rsidRDefault="00F95386">
            <w:pPr>
              <w:rPr>
                <w:rFonts w:ascii="Calibri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F95386" w:rsidRDefault="005A7B80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NPV</w:t>
            </w:r>
          </w:p>
        </w:tc>
        <w:tc>
          <w:tcPr>
            <w:tcW w:w="1559" w:type="dxa"/>
          </w:tcPr>
          <w:p w:rsidR="00F95386" w:rsidRDefault="005A7B80">
            <w:pPr>
              <w:jc w:val="center"/>
              <w:rPr>
                <w:rFonts w:ascii="Calibri" w:hAnsi="Calibri" w:cs="Calibri"/>
                <w:b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</w:rPr>
              <w:t>–$100.0</w:t>
            </w:r>
          </w:p>
        </w:tc>
        <w:tc>
          <w:tcPr>
            <w:tcW w:w="1560" w:type="dxa"/>
          </w:tcPr>
          <w:p w:rsidR="00F95386" w:rsidRDefault="005A7B80">
            <w:pPr>
              <w:jc w:val="center"/>
              <w:rPr>
                <w:rFonts w:ascii="Calibri" w:hAnsi="Calibri" w:cs="Calibri"/>
                <w:b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</w:rPr>
              <w:t>–$41.7</w:t>
            </w:r>
          </w:p>
        </w:tc>
        <w:tc>
          <w:tcPr>
            <w:tcW w:w="1559" w:type="dxa"/>
          </w:tcPr>
          <w:p w:rsidR="00F95386" w:rsidRDefault="005A7B80">
            <w:pPr>
              <w:jc w:val="center"/>
              <w:rPr>
                <w:rFonts w:ascii="Calibri" w:hAnsi="Calibri" w:cs="Calibri"/>
                <w:b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</w:rPr>
              <w:t>+$14.7</w:t>
            </w:r>
          </w:p>
        </w:tc>
        <w:tc>
          <w:tcPr>
            <w:tcW w:w="2410" w:type="dxa"/>
          </w:tcPr>
          <w:p w:rsidR="00F95386" w:rsidRDefault="005A7B80">
            <w:pPr>
              <w:jc w:val="center"/>
              <w:rPr>
                <w:rFonts w:ascii="Calibri" w:hAnsi="Calibri" w:cs="Calibri"/>
                <w:b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</w:rPr>
              <w:t>K = Discount rate</w:t>
            </w:r>
          </w:p>
        </w:tc>
      </w:tr>
    </w:tbl>
    <w:p w:rsidR="00F95386" w:rsidRDefault="005A7B80">
      <w:pPr>
        <w:spacing w:beforeLines="50" w:before="156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The NPV at 21% is $14.7; the other two NPVs are negative.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 xml:space="preserve">. Two mutually exclusive projects have conventional cash flows, but one project has a larger NPV while the other project has a higher IRR. Which of the following </w:t>
      </w:r>
      <w:r>
        <w:rPr>
          <w:i/>
          <w:sz w:val="23"/>
          <w:szCs w:val="23"/>
        </w:rPr>
        <w:t>least likely</w:t>
      </w:r>
      <w:r>
        <w:rPr>
          <w:sz w:val="23"/>
          <w:szCs w:val="23"/>
        </w:rPr>
        <w:t xml:space="preserve"> explains this conflict?</w:t>
      </w:r>
    </w:p>
    <w:p w:rsidR="00F95386" w:rsidRDefault="00596ECF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30080" behindDoc="1" locked="0" layoutInCell="1" allowOverlap="1">
            <wp:simplePos x="0" y="0"/>
            <wp:positionH relativeFrom="column">
              <wp:posOffset>5314705</wp:posOffset>
            </wp:positionH>
            <wp:positionV relativeFrom="paragraph">
              <wp:posOffset>31847</wp:posOffset>
            </wp:positionV>
            <wp:extent cx="1217588" cy="116044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顿CFA二维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588" cy="11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sz w:val="23"/>
          <w:szCs w:val="23"/>
        </w:rPr>
        <w:t>A. Reinvestment rate assumption.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Size of the projects’</w:t>
      </w:r>
      <w:r>
        <w:rPr>
          <w:sz w:val="23"/>
          <w:szCs w:val="23"/>
        </w:rPr>
        <w:t xml:space="preserve"> initial investments.</w:t>
      </w:r>
    </w:p>
    <w:p w:rsidR="00F95386" w:rsidRDefault="00596ECF">
      <w:pPr>
        <w:rPr>
          <w:sz w:val="23"/>
          <w:szCs w:val="23"/>
        </w:rPr>
      </w:pPr>
      <w:r w:rsidRPr="00596ECF">
        <w:rPr>
          <w:sz w:val="23"/>
          <w:szCs w:val="23"/>
        </w:rPr>
        <w:lastRenderedPageBreak/>
        <w:drawing>
          <wp:anchor distT="0" distB="0" distL="114300" distR="114300" simplePos="0" relativeHeight="251638272" behindDoc="1" locked="0" layoutInCell="1" allowOverlap="1" wp14:anchorId="0C7116D2" wp14:editId="69852711">
            <wp:simplePos x="0" y="0"/>
            <wp:positionH relativeFrom="column">
              <wp:posOffset>4878852</wp:posOffset>
            </wp:positionH>
            <wp:positionV relativeFrom="paragraph">
              <wp:posOffset>-4948164</wp:posOffset>
            </wp:positionV>
            <wp:extent cx="1293495" cy="249846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94" cy="24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sz w:val="23"/>
          <w:szCs w:val="23"/>
        </w:rPr>
        <w:t>C. Risk of the projects as reflected in the required rate of return.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C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Conflicting decision rules based on the NPV and IRR methods are related to the reinvestment rate assumption, the timing of the cash flows, or the scale of</w:t>
      </w:r>
      <w:r>
        <w:rPr>
          <w:sz w:val="23"/>
          <w:szCs w:val="23"/>
        </w:rPr>
        <w:t xml:space="preserve"> the projects. Differing required rates of return are not related to conflicting NPV and IRR decisions.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>. The following information is available for a company:</w:t>
      </w: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•</w:t>
      </w:r>
      <w:r>
        <w:rPr>
          <w:sz w:val="23"/>
          <w:szCs w:val="23"/>
        </w:rPr>
        <w:t xml:space="preserve"> Bonds are priced at par and they have an annual coupon rate of 9.2%</w:t>
      </w: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•</w:t>
      </w:r>
      <w:r>
        <w:rPr>
          <w:sz w:val="23"/>
          <w:szCs w:val="23"/>
        </w:rPr>
        <w:t xml:space="preserve"> Preferred stock is pr</w:t>
      </w:r>
      <w:r>
        <w:rPr>
          <w:sz w:val="23"/>
          <w:szCs w:val="23"/>
        </w:rPr>
        <w:t>iced at $8.18 and it pays an annual dividend of $1.35</w:t>
      </w: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•</w:t>
      </w:r>
      <w:r>
        <w:rPr>
          <w:sz w:val="23"/>
          <w:szCs w:val="23"/>
        </w:rPr>
        <w:t xml:space="preserve"> Common equity has a beta of 1.3</w:t>
      </w: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•</w:t>
      </w:r>
      <w:r>
        <w:rPr>
          <w:sz w:val="23"/>
          <w:szCs w:val="23"/>
        </w:rPr>
        <w:t xml:space="preserve"> The risk-free rate is 4% and the market premium is 11%</w:t>
      </w: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•</w:t>
      </w:r>
      <w:r>
        <w:rPr>
          <w:sz w:val="23"/>
          <w:szCs w:val="23"/>
        </w:rPr>
        <w:t xml:space="preserve"> Capital structure: Debt = 30%; Preferred stock = 15%; Common equity = 55%</w:t>
      </w:r>
    </w:p>
    <w:p w:rsidR="00F95386" w:rsidRDefault="00596ECF">
      <w:pPr>
        <w:rPr>
          <w:sz w:val="23"/>
          <w:szCs w:val="23"/>
        </w:rPr>
      </w:pPr>
      <w:r w:rsidRPr="00596ECF">
        <w:rPr>
          <w:sz w:val="23"/>
          <w:szCs w:val="23"/>
        </w:rPr>
        <w:drawing>
          <wp:anchor distT="0" distB="0" distL="114300" distR="114300" simplePos="0" relativeHeight="251662848" behindDoc="1" locked="0" layoutInCell="1" allowOverlap="1" wp14:anchorId="7012D1FD" wp14:editId="1D0ED996">
            <wp:simplePos x="0" y="0"/>
            <wp:positionH relativeFrom="column">
              <wp:posOffset>4810858</wp:posOffset>
            </wp:positionH>
            <wp:positionV relativeFrom="paragraph">
              <wp:posOffset>90023</wp:posOffset>
            </wp:positionV>
            <wp:extent cx="1294081" cy="123431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81" cy="12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rFonts w:hint="eastAsia"/>
          <w:sz w:val="23"/>
          <w:szCs w:val="23"/>
        </w:rPr>
        <w:t>•</w:t>
      </w:r>
      <w:r w:rsidR="005A7B80">
        <w:rPr>
          <w:sz w:val="23"/>
          <w:szCs w:val="23"/>
        </w:rPr>
        <w:t xml:space="preserve"> The tax rate is 35%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 xml:space="preserve">The weighted </w:t>
      </w:r>
      <w:r>
        <w:rPr>
          <w:sz w:val="23"/>
          <w:szCs w:val="23"/>
        </w:rPr>
        <w:t>average cost of capital (WACC) for the company is closest to: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11.5%.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13.4%.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14.3%.</w:t>
      </w: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</w:t>
      </w:r>
      <w:r>
        <w:rPr>
          <w:rFonts w:hint="eastAsia"/>
          <w:b/>
          <w:bCs/>
          <w:sz w:val="23"/>
          <w:szCs w:val="23"/>
        </w:rPr>
        <w:t>C</w:t>
      </w:r>
    </w:p>
    <w:p w:rsidR="00F95386" w:rsidRDefault="005A7B8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rd</w:t>
      </w:r>
      <w:proofErr w:type="spellEnd"/>
      <w:r>
        <w:rPr>
          <w:sz w:val="23"/>
          <w:szCs w:val="23"/>
        </w:rPr>
        <w:t xml:space="preserve">= 9.2%, the yield to maturity on a par value bond is the coupon rate of the bond. </w:t>
      </w:r>
    </w:p>
    <w:p w:rsidR="00F95386" w:rsidRDefault="005A7B8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r­­p</w:t>
      </w:r>
      <w:proofErr w:type="spell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Dp</w:t>
      </w:r>
      <w:proofErr w:type="spellEnd"/>
      <w:r>
        <w:rPr>
          <w:sz w:val="23"/>
          <w:szCs w:val="23"/>
        </w:rPr>
        <w:t xml:space="preserve">/Pp= $1.35/$8.18=16.5% 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 xml:space="preserve">re= RF+ β[E(RM)− </w:t>
      </w:r>
      <w:proofErr w:type="gramStart"/>
      <w:r>
        <w:rPr>
          <w:sz w:val="23"/>
          <w:szCs w:val="23"/>
        </w:rPr>
        <w:t>RF]=</w:t>
      </w:r>
      <w:proofErr w:type="gramEnd"/>
      <w:r>
        <w:rPr>
          <w:sz w:val="23"/>
          <w:szCs w:val="23"/>
        </w:rPr>
        <w:t>4%+1.3[11%]=18.</w:t>
      </w:r>
      <w:r>
        <w:rPr>
          <w:sz w:val="23"/>
          <w:szCs w:val="23"/>
        </w:rPr>
        <w:t>3%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WACC=</w:t>
      </w:r>
      <w:proofErr w:type="spellStart"/>
      <w:r>
        <w:rPr>
          <w:sz w:val="23"/>
          <w:szCs w:val="23"/>
        </w:rPr>
        <w:t>wdrd</w:t>
      </w:r>
      <w:proofErr w:type="spellEnd"/>
      <w:r>
        <w:rPr>
          <w:sz w:val="23"/>
          <w:szCs w:val="23"/>
        </w:rPr>
        <w:t xml:space="preserve"> (1−</w:t>
      </w:r>
      <w:proofErr w:type="gramStart"/>
      <w:r>
        <w:rPr>
          <w:sz w:val="23"/>
          <w:szCs w:val="23"/>
        </w:rPr>
        <w:t>t)+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wprp+were</w:t>
      </w:r>
      <w:proofErr w:type="spellEnd"/>
      <w:r>
        <w:rPr>
          <w:sz w:val="23"/>
          <w:szCs w:val="23"/>
        </w:rPr>
        <w:t>=30%×9.2%×(1−35%)+15%×16.5%+55%×18.3%=14.33%</w:t>
      </w:r>
    </w:p>
    <w:p w:rsidR="00F95386" w:rsidRDefault="00F95386">
      <w:pPr>
        <w:rPr>
          <w:sz w:val="23"/>
          <w:szCs w:val="23"/>
        </w:rPr>
      </w:pP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>
        <w:rPr>
          <w:sz w:val="23"/>
          <w:szCs w:val="23"/>
        </w:rPr>
        <w:t xml:space="preserve">. A company’s optimal capital budget </w:t>
      </w:r>
      <w:r>
        <w:rPr>
          <w:i/>
          <w:sz w:val="23"/>
          <w:szCs w:val="23"/>
        </w:rPr>
        <w:t>most likely</w:t>
      </w:r>
      <w:r>
        <w:rPr>
          <w:sz w:val="23"/>
          <w:szCs w:val="23"/>
        </w:rPr>
        <w:t xml:space="preserve"> occurs at the intersection of the: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net present value and internal rate of return profiles.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 xml:space="preserve">B. marginal cost of capital and net </w:t>
      </w:r>
      <w:r>
        <w:rPr>
          <w:sz w:val="23"/>
          <w:szCs w:val="23"/>
        </w:rPr>
        <w:t>present value profiles.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marginal cost of capital and investment opportunity schedule.</w:t>
      </w: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</w:t>
      </w:r>
      <w:r>
        <w:rPr>
          <w:rFonts w:hint="eastAsia"/>
          <w:b/>
          <w:bCs/>
          <w:sz w:val="23"/>
          <w:szCs w:val="23"/>
        </w:rPr>
        <w:t>C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The point where the marginal cost of capital (MCC) intersects the investment opportunity schedule (IOS) is the optimal capital budget.</w:t>
      </w:r>
    </w:p>
    <w:p w:rsidR="00F95386" w:rsidRDefault="00F95386">
      <w:pPr>
        <w:rPr>
          <w:sz w:val="23"/>
          <w:szCs w:val="23"/>
        </w:rPr>
      </w:pP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6</w:t>
      </w:r>
      <w:r>
        <w:rPr>
          <w:sz w:val="23"/>
          <w:szCs w:val="23"/>
        </w:rPr>
        <w:t xml:space="preserve">. Using the </w:t>
      </w:r>
      <w:r>
        <w:rPr>
          <w:sz w:val="23"/>
          <w:szCs w:val="23"/>
        </w:rPr>
        <w:t>company’s income statement presented, its degree of operating leverage is closest to:</w:t>
      </w:r>
    </w:p>
    <w:p w:rsidR="00F95386" w:rsidRDefault="005A7B80">
      <w:pPr>
        <w:ind w:firstLineChars="100" w:firstLine="231"/>
        <w:rPr>
          <w:b/>
          <w:sz w:val="23"/>
          <w:szCs w:val="23"/>
        </w:rPr>
      </w:pPr>
      <w:r>
        <w:rPr>
          <w:b/>
          <w:sz w:val="23"/>
          <w:szCs w:val="23"/>
        </w:rPr>
        <w:t>Income Statement              $ millions</w:t>
      </w:r>
    </w:p>
    <w:p w:rsidR="00F95386" w:rsidRDefault="00596ECF">
      <w:pPr>
        <w:ind w:firstLineChars="100" w:firstLine="230"/>
        <w:rPr>
          <w:sz w:val="23"/>
          <w:szCs w:val="23"/>
        </w:rPr>
      </w:pPr>
      <w:r w:rsidRPr="00596ECF">
        <w:rPr>
          <w:sz w:val="23"/>
          <w:szCs w:val="23"/>
        </w:rPr>
        <w:drawing>
          <wp:anchor distT="0" distB="0" distL="114300" distR="114300" simplePos="0" relativeHeight="251676160" behindDoc="1" locked="0" layoutInCell="1" allowOverlap="1" wp14:anchorId="62028209" wp14:editId="15436DDC">
            <wp:simplePos x="0" y="0"/>
            <wp:positionH relativeFrom="column">
              <wp:posOffset>5542378</wp:posOffset>
            </wp:positionH>
            <wp:positionV relativeFrom="paragraph">
              <wp:posOffset>159238</wp:posOffset>
            </wp:positionV>
            <wp:extent cx="1217588" cy="116044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顿CFA二维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588" cy="11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sz w:val="23"/>
          <w:szCs w:val="23"/>
        </w:rPr>
        <w:t xml:space="preserve">Revenues             </w:t>
      </w:r>
      <w:r w:rsidR="005A7B80">
        <w:rPr>
          <w:rFonts w:hint="eastAsia"/>
          <w:sz w:val="23"/>
          <w:szCs w:val="23"/>
        </w:rPr>
        <w:t xml:space="preserve">    </w:t>
      </w:r>
      <w:r w:rsidR="005A7B80">
        <w:rPr>
          <w:sz w:val="23"/>
          <w:szCs w:val="23"/>
        </w:rPr>
        <w:t xml:space="preserve">       9.8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t>Variable Operating Costs            7.2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t xml:space="preserve">Fixed Operating Costs         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18"/>
          <w:szCs w:val="23"/>
        </w:rPr>
        <w:t xml:space="preserve">   </w:t>
      </w:r>
      <w:r>
        <w:rPr>
          <w:rFonts w:hint="eastAsia"/>
          <w:sz w:val="23"/>
          <w:szCs w:val="23"/>
        </w:rPr>
        <w:t xml:space="preserve">  </w:t>
      </w:r>
      <w:r>
        <w:rPr>
          <w:sz w:val="23"/>
          <w:szCs w:val="23"/>
        </w:rPr>
        <w:t>1.5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9.3pt;margin-top:1.5pt;width:215.45pt;height:0;z-index:251662336;mso-width-relative:page;mso-height-relative:page" o:connectortype="straight"/>
        </w:pict>
      </w:r>
      <w:r>
        <w:rPr>
          <w:sz w:val="23"/>
          <w:szCs w:val="23"/>
        </w:rPr>
        <w:t xml:space="preserve">Operating Income                </w:t>
      </w:r>
      <w:r>
        <w:rPr>
          <w:sz w:val="15"/>
          <w:szCs w:val="23"/>
        </w:rPr>
        <w:t xml:space="preserve">  </w:t>
      </w:r>
      <w:r>
        <w:rPr>
          <w:sz w:val="23"/>
          <w:szCs w:val="23"/>
        </w:rPr>
        <w:t>1.1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t xml:space="preserve">Interest                      </w:t>
      </w:r>
      <w:r>
        <w:rPr>
          <w:sz w:val="18"/>
          <w:szCs w:val="23"/>
        </w:rPr>
        <w:t xml:space="preserve">  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0.6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lastRenderedPageBreak/>
        <w:pict>
          <v:shape id="_x0000_s1029" type="#_x0000_t32" style="position:absolute;left:0;text-align:left;margin-left:9.3pt;margin-top:.3pt;width:215.45pt;height:0;z-index:251661312;mso-width-relative:page;mso-height-relative:page" o:connectortype="straight"/>
        </w:pict>
      </w:r>
      <w:r>
        <w:rPr>
          <w:sz w:val="23"/>
          <w:szCs w:val="23"/>
        </w:rPr>
        <w:t xml:space="preserve">Taxable Income              </w:t>
      </w:r>
      <w:r>
        <w:rPr>
          <w:rFonts w:hint="eastAsia"/>
          <w:sz w:val="23"/>
          <w:szCs w:val="23"/>
        </w:rPr>
        <w:t xml:space="preserve">  </w:t>
      </w:r>
      <w:r>
        <w:rPr>
          <w:sz w:val="15"/>
          <w:szCs w:val="23"/>
        </w:rPr>
        <w:t xml:space="preserve">  </w:t>
      </w:r>
      <w:r>
        <w:rPr>
          <w:sz w:val="23"/>
          <w:szCs w:val="23"/>
        </w:rPr>
        <w:t xml:space="preserve">  0.5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t xml:space="preserve">Tax                           </w:t>
      </w:r>
      <w:r>
        <w:rPr>
          <w:sz w:val="13"/>
          <w:szCs w:val="23"/>
        </w:rPr>
        <w:t xml:space="preserve">  </w:t>
      </w:r>
      <w:r>
        <w:rPr>
          <w:sz w:val="23"/>
          <w:szCs w:val="23"/>
        </w:rPr>
        <w:t xml:space="preserve"> 0.2</w:t>
      </w:r>
    </w:p>
    <w:p w:rsidR="00F95386" w:rsidRDefault="005A7B80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pict>
          <v:shape id="_x0000_s1028" type="#_x0000_t32" style="position:absolute;left:0;text-align:left;margin-left:9.3pt;margin-top:.6pt;width:215.45pt;height:0;z-index:251660288;mso-width-relative:page;mso-height-relative:page" o:connectortype="straight"/>
        </w:pict>
      </w:r>
      <w:r>
        <w:rPr>
          <w:sz w:val="23"/>
          <w:szCs w:val="23"/>
        </w:rPr>
        <w:t xml:space="preserve">Net Income                     </w:t>
      </w:r>
      <w:r>
        <w:rPr>
          <w:sz w:val="10"/>
          <w:szCs w:val="23"/>
        </w:rPr>
        <w:t xml:space="preserve"> </w:t>
      </w:r>
      <w:r>
        <w:rPr>
          <w:sz w:val="23"/>
          <w:szCs w:val="23"/>
        </w:rPr>
        <w:t xml:space="preserve"> 0.3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1.1.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1.7.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2.4.</w:t>
      </w:r>
    </w:p>
    <w:p w:rsidR="00F95386" w:rsidRDefault="00F95386">
      <w:pPr>
        <w:rPr>
          <w:rFonts w:ascii="Calibri" w:hAnsi="Calibri" w:cs="Calibri"/>
          <w:b/>
          <w:color w:val="000000"/>
          <w:kern w:val="0"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C</w:t>
      </w:r>
    </w:p>
    <w:p w:rsidR="00F95386" w:rsidRDefault="005A7B8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C is correct. </w:t>
      </w:r>
    </w:p>
    <w:p w:rsidR="00F95386" w:rsidRDefault="00596EC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596ECF">
        <w:rPr>
          <w:rFonts w:ascii="Calibri" w:hAnsi="Calibri" w:cs="Calibri"/>
          <w:b/>
          <w:color w:val="000000"/>
          <w:kern w:val="0"/>
          <w:sz w:val="23"/>
          <w:szCs w:val="23"/>
        </w:rPr>
        <w:drawing>
          <wp:anchor distT="0" distB="0" distL="114300" distR="114300" simplePos="0" relativeHeight="251679232" behindDoc="1" locked="0" layoutInCell="1" allowOverlap="1" wp14:anchorId="7012D1FD" wp14:editId="1D0ED996">
            <wp:simplePos x="0" y="0"/>
            <wp:positionH relativeFrom="column">
              <wp:posOffset>4164037</wp:posOffset>
            </wp:positionH>
            <wp:positionV relativeFrom="paragraph">
              <wp:posOffset>18757</wp:posOffset>
            </wp:positionV>
            <wp:extent cx="1294081" cy="1234313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81" cy="12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rFonts w:ascii="Calibri" w:hAnsi="Calibri" w:cs="Calibri"/>
          <w:color w:val="000000"/>
          <w:kern w:val="0"/>
          <w:sz w:val="22"/>
        </w:rPr>
        <w:t xml:space="preserve">DOL = (Revenues </w:t>
      </w:r>
      <w:r w:rsidR="005A7B80">
        <w:rPr>
          <w:rFonts w:ascii="Calibri" w:hAnsi="Calibri" w:cs="Calibri"/>
          <w:color w:val="000000"/>
          <w:kern w:val="0"/>
          <w:sz w:val="22"/>
        </w:rPr>
        <w:t xml:space="preserve">– Variable operating costs) </w:t>
      </w:r>
    </w:p>
    <w:p w:rsidR="00F95386" w:rsidRDefault="005A7B8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(Revenues – Variable operating costs – Fixed operating costs) </w:t>
      </w:r>
    </w:p>
    <w:p w:rsidR="00F95386" w:rsidRDefault="005A7B80">
      <w:pPr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= 9.8−7.29.8−7.2−1.5 </w:t>
      </w:r>
    </w:p>
    <w:p w:rsidR="00F95386" w:rsidRDefault="005A7B80">
      <w:pPr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= 2.36.</w:t>
      </w:r>
    </w:p>
    <w:p w:rsidR="00F95386" w:rsidRDefault="00F95386">
      <w:pPr>
        <w:rPr>
          <w:rFonts w:ascii="Calibri" w:hAnsi="Calibri" w:cs="Calibri"/>
          <w:b/>
          <w:color w:val="000000"/>
          <w:kern w:val="0"/>
          <w:sz w:val="23"/>
          <w:szCs w:val="23"/>
        </w:rPr>
      </w:pPr>
    </w:p>
    <w:p w:rsidR="00F95386" w:rsidRDefault="00F95386">
      <w:pPr>
        <w:rPr>
          <w:rFonts w:ascii="Calibri" w:hAnsi="Calibri" w:cs="Calibri"/>
          <w:b/>
          <w:color w:val="000000"/>
          <w:kern w:val="0"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7</w:t>
      </w:r>
      <w:r>
        <w:rPr>
          <w:sz w:val="23"/>
          <w:szCs w:val="23"/>
        </w:rPr>
        <w:t>. The following information is available for a firm: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Number of shares outstanding:</w:t>
      </w:r>
      <w:r>
        <w:rPr>
          <w:rFonts w:hint="eastAsia"/>
          <w:sz w:val="23"/>
          <w:szCs w:val="23"/>
        </w:rPr>
        <w:t xml:space="preserve">   </w:t>
      </w:r>
      <w:r>
        <w:rPr>
          <w:sz w:val="23"/>
          <w:szCs w:val="23"/>
        </w:rPr>
        <w:t>4 million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Tax rate:</w:t>
      </w:r>
      <w:r>
        <w:rPr>
          <w:rFonts w:hint="eastAsia"/>
          <w:sz w:val="23"/>
          <w:szCs w:val="23"/>
        </w:rPr>
        <w:t xml:space="preserve">                 </w:t>
      </w:r>
      <w:r>
        <w:rPr>
          <w:rFonts w:hint="eastAsia"/>
          <w:sz w:val="28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   </w:t>
      </w:r>
      <w:r>
        <w:rPr>
          <w:sz w:val="23"/>
          <w:szCs w:val="23"/>
        </w:rPr>
        <w:t>40%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Cost of debt (pretax):</w:t>
      </w:r>
      <w:r>
        <w:rPr>
          <w:rFonts w:hint="eastAsia"/>
          <w:sz w:val="23"/>
          <w:szCs w:val="23"/>
        </w:rPr>
        <w:t xml:space="preserve">        </w:t>
      </w:r>
      <w:r>
        <w:rPr>
          <w:rFonts w:hint="eastAsia"/>
          <w:sz w:val="20"/>
          <w:szCs w:val="23"/>
        </w:rPr>
        <w:t xml:space="preserve">  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10%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Current stock price:</w:t>
      </w:r>
      <w:r>
        <w:rPr>
          <w:rFonts w:hint="eastAsia"/>
          <w:sz w:val="23"/>
          <w:szCs w:val="23"/>
        </w:rPr>
        <w:t xml:space="preserve">            </w:t>
      </w:r>
      <w:r>
        <w:rPr>
          <w:sz w:val="23"/>
          <w:szCs w:val="23"/>
        </w:rPr>
        <w:t>$20.00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Net income:</w:t>
      </w:r>
      <w:r>
        <w:rPr>
          <w:rFonts w:hint="eastAsia"/>
          <w:sz w:val="23"/>
          <w:szCs w:val="23"/>
        </w:rPr>
        <w:t xml:space="preserve">                  </w:t>
      </w:r>
      <w:r>
        <w:rPr>
          <w:sz w:val="23"/>
          <w:szCs w:val="23"/>
        </w:rPr>
        <w:t>$6 million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 plan to repurchase $10 million worth of shares using debt will most likely cause the earnings per share to: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A. increase.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decrease.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gramStart"/>
      <w:r>
        <w:rPr>
          <w:sz w:val="23"/>
          <w:szCs w:val="23"/>
        </w:rPr>
        <w:t>r</w:t>
      </w:r>
      <w:r>
        <w:rPr>
          <w:sz w:val="23"/>
          <w:szCs w:val="23"/>
        </w:rPr>
        <w:t>emain</w:t>
      </w:r>
      <w:proofErr w:type="gramEnd"/>
      <w:r>
        <w:rPr>
          <w:sz w:val="23"/>
          <w:szCs w:val="23"/>
        </w:rPr>
        <w:t xml:space="preserve"> unchanged.</w:t>
      </w: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>
        <w:rPr>
          <w:rFonts w:hint="eastAsia"/>
          <w:b/>
          <w:bCs/>
          <w:sz w:val="23"/>
          <w:szCs w:val="23"/>
        </w:rPr>
        <w:t>A</w:t>
      </w:r>
    </w:p>
    <w:p w:rsidR="00F95386" w:rsidRDefault="005A7B80">
      <w:pPr>
        <w:rPr>
          <w:b/>
          <w:sz w:val="23"/>
          <w:szCs w:val="23"/>
        </w:rPr>
      </w:pPr>
      <w:r>
        <w:rPr>
          <w:b/>
          <w:sz w:val="23"/>
          <w:szCs w:val="23"/>
        </w:rPr>
        <w:t>Long way:</w:t>
      </w:r>
    </w:p>
    <w:p w:rsidR="00F95386" w:rsidRDefault="005A7B80">
      <w:pPr>
        <w:jc w:val="lef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𝐶𝑢𝑟𝑟𝑒𝑛𝑡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𝑒𝑎𝑟𝑛𝑖𝑛𝑔𝑠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𝑝𝑒𝑟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𝑠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𝑎𝑟𝑒</w:t>
      </w:r>
      <w:r>
        <w:rPr>
          <w:sz w:val="23"/>
          <w:szCs w:val="23"/>
        </w:rPr>
        <w:t xml:space="preserve">=$6,000,000 ÷4,000,000=$1.50 </w:t>
      </w:r>
    </w:p>
    <w:p w:rsidR="00F95386" w:rsidRDefault="005A7B80">
      <w:pPr>
        <w:jc w:val="lef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𝑁𝑢𝑚𝑏𝑒𝑟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𝑜𝑓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𝑠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𝑎𝑟𝑒𝑠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𝑟𝑒𝑝𝑢𝑟𝑐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𝑎𝑠𝑒𝑑</w:t>
      </w:r>
      <w:r>
        <w:rPr>
          <w:sz w:val="23"/>
          <w:szCs w:val="23"/>
        </w:rPr>
        <w:t xml:space="preserve">=$10,000,000 ÷$20.00=500,000 </w:t>
      </w:r>
    </w:p>
    <w:p w:rsidR="00F95386" w:rsidRDefault="005A7B80">
      <w:pPr>
        <w:jc w:val="lef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𝑠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𝑎𝑟𝑒𝑠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𝐴𝑑𝑗𝑢𝑠𝑡𝑒𝑑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𝑛𝑒𝑡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𝑖𝑛𝑐𝑜𝑚𝑒</w:t>
      </w:r>
      <w:r>
        <w:rPr>
          <w:sz w:val="23"/>
          <w:szCs w:val="23"/>
        </w:rPr>
        <w:t>=</w:t>
      </w:r>
      <w:r>
        <w:rPr>
          <w:rFonts w:ascii="Cambria Math" w:hAnsi="Cambria Math" w:cs="Cambria Math"/>
          <w:sz w:val="23"/>
          <w:szCs w:val="23"/>
        </w:rPr>
        <w:t>𝐶𝑢𝑟𝑟𝑒𝑛𝑡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𝑛𝑒𝑡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𝑖𝑛𝑐𝑜𝑚𝑒</w:t>
      </w:r>
      <w:proofErr w:type="gramStart"/>
      <w:r>
        <w:rPr>
          <w:sz w:val="23"/>
          <w:szCs w:val="23"/>
        </w:rPr>
        <w:t>−</w:t>
      </w:r>
      <w:r>
        <w:rPr>
          <w:sz w:val="23"/>
          <w:szCs w:val="23"/>
        </w:rPr>
        <w:t>[</w:t>
      </w:r>
      <w:proofErr w:type="gramEnd"/>
      <w:r>
        <w:rPr>
          <w:rFonts w:ascii="Cambria Math" w:hAnsi="Cambria Math" w:cs="Cambria Math"/>
          <w:sz w:val="23"/>
          <w:szCs w:val="23"/>
        </w:rPr>
        <w:t>𝑑𝑒𝑏𝑡</w:t>
      </w:r>
      <w:r>
        <w:rPr>
          <w:sz w:val="23"/>
          <w:szCs w:val="23"/>
        </w:rPr>
        <w:t xml:space="preserve"> ×"</w:t>
      </w:r>
      <w:r>
        <w:rPr>
          <w:rFonts w:ascii="Cambria Math" w:hAnsi="Cambria Math" w:cs="Cambria Math"/>
          <w:sz w:val="23"/>
          <w:szCs w:val="23"/>
        </w:rPr>
        <w:t>𝑎𝑓𝑡𝑒𝑟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𝑡𝑎𝑥</w:t>
      </w:r>
      <w:r>
        <w:rPr>
          <w:sz w:val="23"/>
          <w:szCs w:val="23"/>
        </w:rPr>
        <w:t xml:space="preserve">" </w:t>
      </w:r>
      <w:r>
        <w:rPr>
          <w:rFonts w:ascii="Cambria Math" w:hAnsi="Cambria Math" w:cs="Cambria Math"/>
          <w:sz w:val="23"/>
          <w:szCs w:val="23"/>
        </w:rPr>
        <w:t>𝑐𝑜𝑠𝑡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𝑜𝑓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𝑑𝑒𝑏𝑡</w:t>
      </w:r>
      <w:r>
        <w:rPr>
          <w:sz w:val="23"/>
          <w:szCs w:val="23"/>
        </w:rPr>
        <w:t xml:space="preserve">] = $6,000,000−[$10,000,000 ×10%×(1−40%)]=$5,400,000 </w:t>
      </w:r>
    </w:p>
    <w:p w:rsidR="00F95386" w:rsidRDefault="005A7B80">
      <w:pPr>
        <w:spacing w:afterLines="50" w:after="156"/>
        <w:jc w:val="lef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𝑁𝑒𝑤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𝑒𝑎𝑟𝑛𝑖𝑛𝑔𝑠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𝑝𝑒𝑟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𝑠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𝑎𝑟𝑒</w:t>
      </w:r>
      <w:r>
        <w:rPr>
          <w:sz w:val="23"/>
          <w:szCs w:val="23"/>
        </w:rPr>
        <w:t xml:space="preserve">=$5,400,000 </w:t>
      </w:r>
      <w:proofErr w:type="gramStart"/>
      <w:r>
        <w:rPr>
          <w:sz w:val="23"/>
          <w:szCs w:val="23"/>
        </w:rPr>
        <w:t>÷[</w:t>
      </w:r>
      <w:proofErr w:type="gramEnd"/>
      <w:r>
        <w:rPr>
          <w:sz w:val="23"/>
          <w:szCs w:val="23"/>
        </w:rPr>
        <w:t>4,000,000−500,000]=$1.54</w:t>
      </w:r>
    </w:p>
    <w:p w:rsidR="00F95386" w:rsidRDefault="005A7B80">
      <w:pPr>
        <w:rPr>
          <w:b/>
          <w:sz w:val="23"/>
          <w:szCs w:val="23"/>
        </w:rPr>
      </w:pPr>
      <w:r>
        <w:rPr>
          <w:b/>
          <w:sz w:val="23"/>
          <w:szCs w:val="23"/>
        </w:rPr>
        <w:t>Short way:</w:t>
      </w:r>
    </w:p>
    <w:p w:rsidR="00F95386" w:rsidRDefault="005A7B80">
      <w:pPr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𝐶𝑢𝑟𝑟𝑒𝑛𝑡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𝑒𝑎𝑟𝑛</w:t>
      </w:r>
      <w:r>
        <w:rPr>
          <w:rFonts w:ascii="Cambria Math" w:hAnsi="Cambria Math" w:cs="Cambria Math"/>
          <w:sz w:val="23"/>
          <w:szCs w:val="23"/>
        </w:rPr>
        <w:t>𝑖</w:t>
      </w:r>
      <w:r>
        <w:rPr>
          <w:rFonts w:ascii="Cambria Math" w:hAnsi="Cambria Math" w:cs="Cambria Math"/>
          <w:sz w:val="23"/>
          <w:szCs w:val="23"/>
        </w:rPr>
        <w:t>𝑛𝑔𝑠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𝑝𝑒𝑟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𝑠</w:t>
      </w:r>
      <w:r>
        <w:rPr>
          <w:rFonts w:ascii="Cambria Math" w:hAnsi="Cambria Math" w:cs="Cambria Math"/>
          <w:sz w:val="23"/>
          <w:szCs w:val="23"/>
        </w:rPr>
        <w:t>ℎ</w:t>
      </w:r>
      <w:r>
        <w:rPr>
          <w:rFonts w:ascii="Cambria Math" w:hAnsi="Cambria Math" w:cs="Cambria Math"/>
          <w:sz w:val="23"/>
          <w:szCs w:val="23"/>
        </w:rPr>
        <w:t>𝑎𝑟𝑒</w:t>
      </w:r>
      <w:r>
        <w:rPr>
          <w:sz w:val="23"/>
          <w:szCs w:val="23"/>
        </w:rPr>
        <w:t xml:space="preserve">=$6,000,000 ÷4,000,000=$1.50 </w:t>
      </w:r>
      <w:r>
        <w:rPr>
          <w:rFonts w:ascii="Cambria Math" w:hAnsi="Cambria Math" w:cs="Cambria Math"/>
          <w:sz w:val="23"/>
          <w:szCs w:val="23"/>
        </w:rPr>
        <w:t>𝐸𝑎𝑟𝑛𝑖𝑛𝑔𝑠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𝑦𝑖𝑒𝑙𝑑</w:t>
      </w:r>
      <w:r>
        <w:rPr>
          <w:sz w:val="23"/>
          <w:szCs w:val="23"/>
        </w:rPr>
        <w:t>=$1.50 ÷$20.00=7.5%</w:t>
      </w:r>
    </w:p>
    <w:p w:rsidR="00F95386" w:rsidRDefault="005A7B80">
      <w:pPr>
        <w:jc w:val="left"/>
        <w:rPr>
          <w:sz w:val="23"/>
          <w:szCs w:val="23"/>
        </w:rPr>
      </w:pPr>
      <w:r>
        <w:rPr>
          <w:sz w:val="23"/>
          <w:szCs w:val="23"/>
        </w:rPr>
        <w:t xml:space="preserve">If the after-tax cost of debt (10% × [1 – 40%] = 6%) is below the earnings yield, the earnings per share will increase. </w:t>
      </w:r>
    </w:p>
    <w:p w:rsidR="00F95386" w:rsidRDefault="00F95386">
      <w:pPr>
        <w:rPr>
          <w:sz w:val="23"/>
          <w:szCs w:val="23"/>
        </w:rPr>
      </w:pPr>
    </w:p>
    <w:p w:rsidR="00F95386" w:rsidRDefault="00F95386">
      <w:pPr>
        <w:rPr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>. Other factors held constant, t</w:t>
      </w:r>
      <w:r>
        <w:rPr>
          <w:sz w:val="23"/>
          <w:szCs w:val="23"/>
        </w:rPr>
        <w:t xml:space="preserve">he reduction of a company’s average accounts payables due to suppliers offering less trade credit will </w:t>
      </w:r>
      <w:r>
        <w:rPr>
          <w:i/>
          <w:sz w:val="23"/>
          <w:szCs w:val="23"/>
        </w:rPr>
        <w:t>most likely</w:t>
      </w:r>
      <w:r>
        <w:rPr>
          <w:sz w:val="23"/>
          <w:szCs w:val="23"/>
        </w:rPr>
        <w:t>:</w:t>
      </w:r>
    </w:p>
    <w:p w:rsidR="00F95386" w:rsidRDefault="00596ECF">
      <w:pPr>
        <w:rPr>
          <w:sz w:val="23"/>
          <w:szCs w:val="23"/>
        </w:rPr>
      </w:pPr>
      <w:r w:rsidRPr="00596ECF">
        <w:rPr>
          <w:rFonts w:ascii="Calibri" w:hAnsi="Calibri" w:cs="Calibri"/>
          <w:b/>
          <w:color w:val="000000"/>
          <w:kern w:val="0"/>
          <w:sz w:val="23"/>
          <w:szCs w:val="23"/>
        </w:rPr>
        <w:drawing>
          <wp:anchor distT="0" distB="0" distL="114300" distR="114300" simplePos="0" relativeHeight="251685376" behindDoc="1" locked="0" layoutInCell="1" allowOverlap="1" wp14:anchorId="62028209" wp14:editId="15436DDC">
            <wp:simplePos x="0" y="0"/>
            <wp:positionH relativeFrom="column">
              <wp:posOffset>5120298</wp:posOffset>
            </wp:positionH>
            <wp:positionV relativeFrom="paragraph">
              <wp:posOffset>21394</wp:posOffset>
            </wp:positionV>
            <wp:extent cx="1217588" cy="116044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顿CFA二维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588" cy="11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sz w:val="23"/>
          <w:szCs w:val="23"/>
        </w:rPr>
        <w:t>A. reduce the operating cycle.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increase the operating cycle.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lastRenderedPageBreak/>
        <w:t>C. not affect the operating cycle.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</w:t>
      </w:r>
      <w:r>
        <w:rPr>
          <w:rFonts w:hint="eastAsia"/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C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 xml:space="preserve">Payables are not part of the </w:t>
      </w:r>
      <w:r>
        <w:rPr>
          <w:sz w:val="23"/>
          <w:szCs w:val="23"/>
        </w:rPr>
        <w:t>operating cycle calculation. Operating cash cycle includes inventory and accounts receivable.</w:t>
      </w: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F95386">
      <w:pPr>
        <w:rPr>
          <w:b/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9</w:t>
      </w:r>
      <w:r>
        <w:rPr>
          <w:sz w:val="23"/>
          <w:szCs w:val="23"/>
        </w:rPr>
        <w:t>. Assuming trade credit terms of 2/10 net 40, paying the supplier on the 30</w:t>
      </w:r>
      <w:r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day creates an annualized cost of trade credit (%) </w:t>
      </w:r>
      <w:r>
        <w:rPr>
          <w:i/>
          <w:sz w:val="23"/>
          <w:szCs w:val="23"/>
        </w:rPr>
        <w:t xml:space="preserve">closest </w:t>
      </w:r>
      <w:r>
        <w:rPr>
          <w:sz w:val="23"/>
          <w:szCs w:val="23"/>
        </w:rPr>
        <w:t>to:</w:t>
      </w:r>
    </w:p>
    <w:p w:rsidR="00F95386" w:rsidRDefault="00596ECF">
      <w:pPr>
        <w:rPr>
          <w:sz w:val="23"/>
          <w:szCs w:val="23"/>
        </w:rPr>
      </w:pPr>
      <w:r w:rsidRPr="00596ECF">
        <w:rPr>
          <w:sz w:val="23"/>
          <w:szCs w:val="23"/>
        </w:rPr>
        <w:drawing>
          <wp:anchor distT="0" distB="0" distL="114300" distR="114300" simplePos="0" relativeHeight="251694592" behindDoc="1" locked="0" layoutInCell="1" allowOverlap="1" wp14:anchorId="28DDA1E5" wp14:editId="5998A136">
            <wp:simplePos x="0" y="0"/>
            <wp:positionH relativeFrom="column">
              <wp:posOffset>4783016</wp:posOffset>
            </wp:positionH>
            <wp:positionV relativeFrom="paragraph">
              <wp:posOffset>16412</wp:posOffset>
            </wp:positionV>
            <wp:extent cx="1294081" cy="1234313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81" cy="12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80">
        <w:rPr>
          <w:sz w:val="23"/>
          <w:szCs w:val="23"/>
        </w:rPr>
        <w:t>A. 27.9.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B. 44.6.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C. 109.0.</w:t>
      </w:r>
      <w:r w:rsidR="00596ECF" w:rsidRPr="00596ECF">
        <w:rPr>
          <w:rFonts w:ascii="Calibri" w:hAnsi="Calibri" w:cs="Calibri"/>
          <w:b/>
          <w:color w:val="000000"/>
          <w:kern w:val="0"/>
          <w:sz w:val="23"/>
          <w:szCs w:val="23"/>
        </w:rPr>
        <w:t xml:space="preserve"> </w:t>
      </w:r>
    </w:p>
    <w:p w:rsidR="00F95386" w:rsidRDefault="00F95386">
      <w:pPr>
        <w:rPr>
          <w:bCs/>
          <w:sz w:val="23"/>
          <w:szCs w:val="23"/>
        </w:rPr>
      </w:pPr>
    </w:p>
    <w:p w:rsidR="00F95386" w:rsidRDefault="005A7B8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Cost of trade credit = {[ 1 + Discount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>1 – Discount)]</w:t>
      </w:r>
      <w:r>
        <w:rPr>
          <w:sz w:val="23"/>
          <w:szCs w:val="23"/>
          <w:vertAlign w:val="superscript"/>
        </w:rPr>
        <w:t xml:space="preserve"> (365/Days beyond discount period)</w:t>
      </w:r>
      <w:r>
        <w:rPr>
          <w:sz w:val="23"/>
          <w:szCs w:val="23"/>
        </w:rPr>
        <w:t xml:space="preserve"> } -1 </w:t>
      </w:r>
    </w:p>
    <w:p w:rsidR="00F95386" w:rsidRDefault="005A7B80">
      <w:pPr>
        <w:rPr>
          <w:sz w:val="23"/>
          <w:szCs w:val="23"/>
        </w:rPr>
      </w:pPr>
      <w:r>
        <w:rPr>
          <w:sz w:val="23"/>
          <w:szCs w:val="23"/>
        </w:rPr>
        <w:t>= {1 + (0.02 ÷ (1 – 0.02</w:t>
      </w:r>
      <w:proofErr w:type="gramStart"/>
      <w:r>
        <w:rPr>
          <w:sz w:val="23"/>
          <w:szCs w:val="23"/>
        </w:rPr>
        <w:t>)}</w:t>
      </w:r>
      <w:r>
        <w:rPr>
          <w:sz w:val="23"/>
          <w:szCs w:val="23"/>
          <w:vertAlign w:val="superscript"/>
        </w:rPr>
        <w:t>(</w:t>
      </w:r>
      <w:proofErr w:type="gramEnd"/>
      <w:r>
        <w:rPr>
          <w:sz w:val="23"/>
          <w:szCs w:val="23"/>
          <w:vertAlign w:val="superscript"/>
        </w:rPr>
        <w:t>365 ÷ (30 -10)</w:t>
      </w:r>
      <w:r>
        <w:rPr>
          <w:sz w:val="23"/>
          <w:szCs w:val="23"/>
        </w:rPr>
        <w:t>) – 1 = 44.6%</w:t>
      </w:r>
    </w:p>
    <w:p w:rsidR="00F95386" w:rsidRDefault="00F95386">
      <w:pPr>
        <w:rPr>
          <w:bCs/>
          <w:sz w:val="23"/>
          <w:szCs w:val="23"/>
        </w:rPr>
      </w:pPr>
    </w:p>
    <w:p w:rsidR="00F95386" w:rsidRDefault="00F95386">
      <w:pPr>
        <w:rPr>
          <w:bCs/>
          <w:sz w:val="23"/>
          <w:szCs w:val="23"/>
        </w:rPr>
      </w:pPr>
    </w:p>
    <w:p w:rsidR="00F95386" w:rsidRDefault="005A7B80">
      <w:pPr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 xml:space="preserve">10. </w:t>
      </w:r>
      <w:r>
        <w:rPr>
          <w:bCs/>
          <w:sz w:val="23"/>
          <w:szCs w:val="23"/>
        </w:rPr>
        <w:t>Which of the following statements related to corporate governance is least accu</w:t>
      </w:r>
      <w:r>
        <w:rPr>
          <w:bCs/>
          <w:sz w:val="23"/>
          <w:szCs w:val="23"/>
        </w:rPr>
        <w:t>rate?</w:t>
      </w:r>
    </w:p>
    <w:p w:rsidR="00F95386" w:rsidRDefault="005A7B80">
      <w:pPr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A</w:t>
      </w:r>
      <w:r>
        <w:rPr>
          <w:rFonts w:hint="eastAsia"/>
          <w:bCs/>
          <w:sz w:val="23"/>
          <w:szCs w:val="23"/>
        </w:rPr>
        <w:t>.</w:t>
      </w:r>
      <w:proofErr w:type="gramEnd"/>
      <w:r>
        <w:rPr>
          <w:rFonts w:hint="eastAsia"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It is desirable for the chairman of the board to be the firm’s current CEO or former CEO.  </w:t>
      </w:r>
    </w:p>
    <w:p w:rsidR="00F95386" w:rsidRDefault="005A7B80">
      <w:pPr>
        <w:ind w:left="283" w:hangingChars="123" w:hanging="283"/>
        <w:rPr>
          <w:bCs/>
          <w:sz w:val="23"/>
          <w:szCs w:val="23"/>
        </w:rPr>
      </w:pPr>
      <w:r>
        <w:rPr>
          <w:bCs/>
          <w:sz w:val="23"/>
          <w:szCs w:val="23"/>
        </w:rPr>
        <w:t>B</w:t>
      </w:r>
      <w:r>
        <w:rPr>
          <w:rFonts w:hint="eastAsia"/>
          <w:bCs/>
          <w:sz w:val="23"/>
          <w:szCs w:val="23"/>
        </w:rPr>
        <w:t xml:space="preserve">. </w:t>
      </w:r>
      <w:r>
        <w:rPr>
          <w:bCs/>
          <w:sz w:val="23"/>
          <w:szCs w:val="23"/>
        </w:rPr>
        <w:t xml:space="preserve">Board members should not have any material relationships with the firm’s advisers, auditors, and their families. </w:t>
      </w:r>
    </w:p>
    <w:p w:rsidR="00F95386" w:rsidRDefault="005A7B8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C</w:t>
      </w:r>
      <w:r>
        <w:rPr>
          <w:rFonts w:hint="eastAsia"/>
          <w:bCs/>
          <w:sz w:val="23"/>
          <w:szCs w:val="23"/>
        </w:rPr>
        <w:t xml:space="preserve">. </w:t>
      </w:r>
      <w:r>
        <w:rPr>
          <w:bCs/>
          <w:sz w:val="23"/>
          <w:szCs w:val="23"/>
        </w:rPr>
        <w:t>It is desirable for board members t</w:t>
      </w:r>
      <w:r>
        <w:rPr>
          <w:bCs/>
          <w:sz w:val="23"/>
          <w:szCs w:val="23"/>
        </w:rPr>
        <w:t xml:space="preserve">o have board experience with other boards. </w:t>
      </w:r>
    </w:p>
    <w:p w:rsidR="00F95386" w:rsidRDefault="00F95386">
      <w:pPr>
        <w:rPr>
          <w:bCs/>
          <w:sz w:val="23"/>
          <w:szCs w:val="23"/>
        </w:rPr>
      </w:pPr>
    </w:p>
    <w:p w:rsidR="00F95386" w:rsidRDefault="005A7B80">
      <w:pPr>
        <w:rPr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Answer: A</w:t>
      </w:r>
    </w:p>
    <w:p w:rsidR="00F95386" w:rsidRDefault="005A7B80">
      <w:pPr>
        <w:jc w:val="left"/>
        <w:rPr>
          <w:bCs/>
          <w:sz w:val="23"/>
          <w:szCs w:val="23"/>
        </w:rPr>
      </w:pPr>
      <w:r>
        <w:rPr>
          <w:bCs/>
          <w:sz w:val="23"/>
          <w:szCs w:val="23"/>
        </w:rPr>
        <w:t>The willingness of independent board members to express opinions that are not aligned with</w:t>
      </w:r>
      <w:r>
        <w:rPr>
          <w:rFonts w:hint="eastAsia"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managements may be impaired when the chairman is the firm’s current CEO or a former CEO.</w:t>
      </w:r>
    </w:p>
    <w:p w:rsidR="00F95386" w:rsidRDefault="00596ECF">
      <w:pPr>
        <w:rPr>
          <w:bCs/>
          <w:sz w:val="23"/>
          <w:szCs w:val="23"/>
        </w:rPr>
      </w:pPr>
      <w:bookmarkStart w:id="0" w:name="_GoBack"/>
      <w:bookmarkEnd w:id="0"/>
      <w:r w:rsidRPr="00596ECF">
        <w:rPr>
          <w:sz w:val="23"/>
          <w:szCs w:val="23"/>
        </w:rPr>
        <w:drawing>
          <wp:anchor distT="0" distB="0" distL="114300" distR="114300" simplePos="0" relativeHeight="251697664" behindDoc="1" locked="0" layoutInCell="1" allowOverlap="1" wp14:anchorId="35AEBF1B" wp14:editId="0BE6414F">
            <wp:simplePos x="0" y="0"/>
            <wp:positionH relativeFrom="column">
              <wp:posOffset>5218626</wp:posOffset>
            </wp:positionH>
            <wp:positionV relativeFrom="paragraph">
              <wp:posOffset>2428094</wp:posOffset>
            </wp:positionV>
            <wp:extent cx="1217588" cy="116044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顿CFA二维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588" cy="11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5386">
      <w:headerReference w:type="default" r:id="rId11"/>
      <w:footerReference w:type="default" r:id="rId12"/>
      <w:pgSz w:w="11906" w:h="16838"/>
      <w:pgMar w:top="1440" w:right="1133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B80" w:rsidRDefault="005A7B80">
      <w:r>
        <w:separator/>
      </w:r>
    </w:p>
  </w:endnote>
  <w:endnote w:type="continuationSeparator" w:id="0">
    <w:p w:rsidR="005A7B80" w:rsidRDefault="005A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386" w:rsidRDefault="005A7B80">
    <w:pPr>
      <w:pStyle w:val="a5"/>
      <w:pBdr>
        <w:top w:val="single" w:sz="4" w:space="1" w:color="A5A5A5" w:themeColor="background1" w:themeShade="A5"/>
      </w:pBdr>
      <w:wordWrap w:val="0"/>
      <w:jc w:val="right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433.15pt;margin-top:-16.65pt;width:41.3pt;height:18.25pt;z-index:251697152;mso-width-relative:page;mso-height-relative:page" filled="f" stroked="f">
          <v:textbox inset=",0,,0">
            <w:txbxContent>
              <w:p w:rsidR="00F95386" w:rsidRDefault="005A7B80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596ECF" w:rsidRPr="00596ECF">
                  <w:rPr>
                    <w:noProof/>
                    <w:lang w:val="zh-CN"/>
                  </w:rPr>
                  <w:t>1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hint="eastAsia"/>
          </w:rPr>
          <w:t>学服：</w:t>
        </w:r>
        <w:r>
          <w:rPr>
            <w:rFonts w:hint="eastAsia"/>
          </w:rPr>
          <w:t xml:space="preserve">021-51210513  </w:t>
        </w:r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cfa.gaodun.cn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F95386" w:rsidRDefault="00F953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B80" w:rsidRDefault="005A7B80">
      <w:r>
        <w:separator/>
      </w:r>
    </w:p>
  </w:footnote>
  <w:footnote w:type="continuationSeparator" w:id="0">
    <w:p w:rsidR="005A7B80" w:rsidRDefault="005A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386" w:rsidRDefault="005A7B8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353.65pt;margin-top:-19.15pt;width:162.9pt;height:40.5pt;z-index:251781120;mso-width-relative:page;mso-height-relative:page" filled="f" stroked="f">
          <v:textbox>
            <w:txbxContent>
              <w:p w:rsidR="00F95386" w:rsidRDefault="005A7B80">
                <w:pPr>
                  <w:jc w:val="center"/>
                  <w:rPr>
                    <w:rFonts w:ascii="黑体" w:eastAsia="黑体"/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财经学习，只在高顿</w:t>
                </w:r>
                <w:r>
                  <w:rPr>
                    <w:rFonts w:ascii="黑体" w:eastAsia="黑体"/>
                    <w:sz w:val="24"/>
                    <w:szCs w:val="24"/>
                  </w:rPr>
                  <w:t>http://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finance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.</w:t>
                </w:r>
                <w:r>
                  <w:rPr>
                    <w:rFonts w:ascii="黑体" w:eastAsia="黑体"/>
                    <w:sz w:val="24"/>
                    <w:szCs w:val="24"/>
                  </w:rPr>
                  <w:t>gaodun.cn</w:t>
                </w:r>
              </w:p>
              <w:p w:rsidR="00F95386" w:rsidRDefault="00F95386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740160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-273050</wp:posOffset>
          </wp:positionV>
          <wp:extent cx="1256665" cy="466725"/>
          <wp:effectExtent l="0" t="0" r="635" b="9525"/>
          <wp:wrapSquare wrapText="bothSides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rcRect r="62617"/>
                  <a:stretch>
                    <a:fillRect/>
                  </a:stretch>
                </pic:blipFill>
                <pic:spPr>
                  <a:xfrm>
                    <a:off x="0" y="0"/>
                    <a:ext cx="125666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F95386" w:rsidRDefault="00F95386">
    <w:pPr>
      <w:pStyle w:val="a7"/>
    </w:pPr>
  </w:p>
  <w:p w:rsidR="00F95386" w:rsidRDefault="00F9538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F7E"/>
    <w:rsid w:val="000213D0"/>
    <w:rsid w:val="0002609F"/>
    <w:rsid w:val="000262EB"/>
    <w:rsid w:val="00083A69"/>
    <w:rsid w:val="00084010"/>
    <w:rsid w:val="000A1E27"/>
    <w:rsid w:val="000E3572"/>
    <w:rsid w:val="001009FA"/>
    <w:rsid w:val="0010549D"/>
    <w:rsid w:val="001155AF"/>
    <w:rsid w:val="001162D8"/>
    <w:rsid w:val="0012626A"/>
    <w:rsid w:val="001648F3"/>
    <w:rsid w:val="00173BCA"/>
    <w:rsid w:val="0018274C"/>
    <w:rsid w:val="00235764"/>
    <w:rsid w:val="00295F0F"/>
    <w:rsid w:val="002978E7"/>
    <w:rsid w:val="002A53CD"/>
    <w:rsid w:val="002B3BA1"/>
    <w:rsid w:val="002B6945"/>
    <w:rsid w:val="002C3314"/>
    <w:rsid w:val="002C4D66"/>
    <w:rsid w:val="002C64E8"/>
    <w:rsid w:val="002E4317"/>
    <w:rsid w:val="002E4A1C"/>
    <w:rsid w:val="0038131F"/>
    <w:rsid w:val="00394AB3"/>
    <w:rsid w:val="003F593F"/>
    <w:rsid w:val="0041282B"/>
    <w:rsid w:val="00440193"/>
    <w:rsid w:val="00481277"/>
    <w:rsid w:val="00491A3A"/>
    <w:rsid w:val="00494FE9"/>
    <w:rsid w:val="004E655B"/>
    <w:rsid w:val="004F2007"/>
    <w:rsid w:val="00505D11"/>
    <w:rsid w:val="00522601"/>
    <w:rsid w:val="00532306"/>
    <w:rsid w:val="0055699D"/>
    <w:rsid w:val="00564BC0"/>
    <w:rsid w:val="00573CA2"/>
    <w:rsid w:val="00596ECF"/>
    <w:rsid w:val="005A00E1"/>
    <w:rsid w:val="005A7B80"/>
    <w:rsid w:val="00623A57"/>
    <w:rsid w:val="00636ECD"/>
    <w:rsid w:val="00687F89"/>
    <w:rsid w:val="0069291D"/>
    <w:rsid w:val="006B5FD4"/>
    <w:rsid w:val="006D05D6"/>
    <w:rsid w:val="006E30B8"/>
    <w:rsid w:val="006F1FC9"/>
    <w:rsid w:val="00707B07"/>
    <w:rsid w:val="00717864"/>
    <w:rsid w:val="00721C28"/>
    <w:rsid w:val="00771C51"/>
    <w:rsid w:val="00783579"/>
    <w:rsid w:val="007A3678"/>
    <w:rsid w:val="007C7A0F"/>
    <w:rsid w:val="007F7C48"/>
    <w:rsid w:val="00821DE0"/>
    <w:rsid w:val="00830ACD"/>
    <w:rsid w:val="008404C3"/>
    <w:rsid w:val="00847075"/>
    <w:rsid w:val="00857BB1"/>
    <w:rsid w:val="0087554E"/>
    <w:rsid w:val="008B2240"/>
    <w:rsid w:val="00941CE6"/>
    <w:rsid w:val="00944F68"/>
    <w:rsid w:val="00955E03"/>
    <w:rsid w:val="00972EF0"/>
    <w:rsid w:val="00974FE9"/>
    <w:rsid w:val="009E56DE"/>
    <w:rsid w:val="00A10CEE"/>
    <w:rsid w:val="00A14D29"/>
    <w:rsid w:val="00A2731A"/>
    <w:rsid w:val="00A401B7"/>
    <w:rsid w:val="00A46DD5"/>
    <w:rsid w:val="00A53659"/>
    <w:rsid w:val="00A74FA3"/>
    <w:rsid w:val="00AA0EF9"/>
    <w:rsid w:val="00AA5F61"/>
    <w:rsid w:val="00AB2A03"/>
    <w:rsid w:val="00AB416D"/>
    <w:rsid w:val="00AB7BF8"/>
    <w:rsid w:val="00AC52D6"/>
    <w:rsid w:val="00AD0F7E"/>
    <w:rsid w:val="00AD15A5"/>
    <w:rsid w:val="00AD17E6"/>
    <w:rsid w:val="00B160EC"/>
    <w:rsid w:val="00B23221"/>
    <w:rsid w:val="00B36C5E"/>
    <w:rsid w:val="00B47316"/>
    <w:rsid w:val="00B55718"/>
    <w:rsid w:val="00B86451"/>
    <w:rsid w:val="00BA707D"/>
    <w:rsid w:val="00BC25D9"/>
    <w:rsid w:val="00BF6C64"/>
    <w:rsid w:val="00C13261"/>
    <w:rsid w:val="00C3077D"/>
    <w:rsid w:val="00C8087F"/>
    <w:rsid w:val="00CA242F"/>
    <w:rsid w:val="00CB4305"/>
    <w:rsid w:val="00CC1229"/>
    <w:rsid w:val="00CC307B"/>
    <w:rsid w:val="00CC62A7"/>
    <w:rsid w:val="00CD5AD7"/>
    <w:rsid w:val="00CE318F"/>
    <w:rsid w:val="00D02B2A"/>
    <w:rsid w:val="00D30FD8"/>
    <w:rsid w:val="00D553D1"/>
    <w:rsid w:val="00D64CF6"/>
    <w:rsid w:val="00D672D8"/>
    <w:rsid w:val="00D73476"/>
    <w:rsid w:val="00D857DA"/>
    <w:rsid w:val="00D95F27"/>
    <w:rsid w:val="00DC0648"/>
    <w:rsid w:val="00DC48E9"/>
    <w:rsid w:val="00DC4958"/>
    <w:rsid w:val="00DD23B9"/>
    <w:rsid w:val="00E04746"/>
    <w:rsid w:val="00E05F53"/>
    <w:rsid w:val="00E816A4"/>
    <w:rsid w:val="00E82432"/>
    <w:rsid w:val="00E83613"/>
    <w:rsid w:val="00E93903"/>
    <w:rsid w:val="00EA27EB"/>
    <w:rsid w:val="00EB48A8"/>
    <w:rsid w:val="00ED062A"/>
    <w:rsid w:val="00EE7465"/>
    <w:rsid w:val="00F01A14"/>
    <w:rsid w:val="00F1088A"/>
    <w:rsid w:val="00F17F9C"/>
    <w:rsid w:val="00F44116"/>
    <w:rsid w:val="00F52392"/>
    <w:rsid w:val="00F95386"/>
    <w:rsid w:val="00F95F69"/>
    <w:rsid w:val="00F97273"/>
    <w:rsid w:val="00FC1727"/>
    <w:rsid w:val="00FD55EC"/>
    <w:rsid w:val="51714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."/>
  <w:listSeparator w:val=","/>
  <w15:docId w15:val="{5E5DBEA6-6E26-4388-B35A-15EB2871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FE129B" w:rsidRDefault="000C3A00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FE129B" w:rsidRDefault="000C3A00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59"/>
    <w:rsid w:val="00063885"/>
    <w:rsid w:val="000C3A00"/>
    <w:rsid w:val="0024698F"/>
    <w:rsid w:val="00247749"/>
    <w:rsid w:val="00471152"/>
    <w:rsid w:val="00472ACF"/>
    <w:rsid w:val="00712C4A"/>
    <w:rsid w:val="007B1020"/>
    <w:rsid w:val="007F336D"/>
    <w:rsid w:val="00885E28"/>
    <w:rsid w:val="00A42FC0"/>
    <w:rsid w:val="00CA03AF"/>
    <w:rsid w:val="00CA0F74"/>
    <w:rsid w:val="00D23D08"/>
    <w:rsid w:val="00D60159"/>
    <w:rsid w:val="00E64DA9"/>
    <w:rsid w:val="00F05B53"/>
    <w:rsid w:val="00FB6F26"/>
    <w:rsid w:val="00FE1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  <customShpInfo spid="_x0000_s1030"/>
    <customShpInfo spid="_x0000_s1029"/>
    <customShpInfo spid="_x0000_s1028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2536973-41D5-4855-84B7-109BC6BF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945</Words>
  <Characters>5389</Characters>
  <Application>Microsoft Office Word</Application>
  <DocSecurity>0</DocSecurity>
  <Lines>44</Lines>
  <Paragraphs>12</Paragraphs>
  <ScaleCrop>false</ScaleCrop>
  <Company>学服：021-51210513  咨询：400-600-8011  邮箱：cfa@gaodun.cn  网站：cfa.gaodun.cn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梁文伯</cp:lastModifiedBy>
  <cp:revision>8</cp:revision>
  <cp:lastPrinted>2018-01-22T03:56:00Z</cp:lastPrinted>
  <dcterms:created xsi:type="dcterms:W3CDTF">2014-12-23T00:59:00Z</dcterms:created>
  <dcterms:modified xsi:type="dcterms:W3CDTF">2018-01-22T03:57:00Z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