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168" w:rsidRDefault="00391C4B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37248" behindDoc="0" locked="0" layoutInCell="1" allowOverlap="1" wp14:anchorId="6399F832" wp14:editId="42722B3E">
            <wp:simplePos x="0" y="0"/>
            <wp:positionH relativeFrom="column">
              <wp:posOffset>5148580</wp:posOffset>
            </wp:positionH>
            <wp:positionV relativeFrom="paragraph">
              <wp:posOffset>311785</wp:posOffset>
            </wp:positionV>
            <wp:extent cx="1293495" cy="1233805"/>
            <wp:effectExtent l="0" t="0" r="1905" b="4445"/>
            <wp:wrapNone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0DE1">
        <w:rPr>
          <w:rFonts w:hint="eastAsia"/>
          <w:sz w:val="28"/>
          <w:szCs w:val="28"/>
        </w:rPr>
        <w:t>Derivatives</w:t>
      </w:r>
    </w:p>
    <w:p w:rsidR="00986168" w:rsidRDefault="00B10DE1">
      <w:pPr>
        <w:autoSpaceDE w:val="0"/>
        <w:autoSpaceDN w:val="0"/>
        <w:adjustRightInd w:val="0"/>
        <w:spacing w:before="24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 w:hint="eastAsia"/>
          <w:color w:val="000000"/>
          <w:kern w:val="0"/>
          <w:sz w:val="22"/>
        </w:rPr>
        <w:t xml:space="preserve">1. </w:t>
      </w:r>
      <w:r>
        <w:rPr>
          <w:rFonts w:ascii="Calibri" w:hAnsi="Calibri" w:cs="Calibri"/>
          <w:color w:val="000000"/>
          <w:kern w:val="0"/>
          <w:sz w:val="22"/>
        </w:rPr>
        <w:t xml:space="preserve">In contrast to over-the-counter options, futures contracts: </w:t>
      </w:r>
    </w:p>
    <w:p w:rsidR="00986168" w:rsidRDefault="00B10DE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 xml:space="preserve">A. are not exposed to default risk. </w:t>
      </w:r>
    </w:p>
    <w:p w:rsidR="00986168" w:rsidRDefault="00B10DE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 xml:space="preserve">B. are private, customized transactions. </w:t>
      </w:r>
    </w:p>
    <w:p w:rsidR="00986168" w:rsidRDefault="00B10DE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 xml:space="preserve">C. represent a right rather than a commitment. </w:t>
      </w:r>
    </w:p>
    <w:p w:rsidR="00986168" w:rsidRDefault="00986168">
      <w:pPr>
        <w:rPr>
          <w:sz w:val="23"/>
          <w:szCs w:val="23"/>
        </w:rPr>
      </w:pPr>
    </w:p>
    <w:p w:rsidR="00986168" w:rsidRDefault="00B10DE1">
      <w:pPr>
        <w:rPr>
          <w:sz w:val="23"/>
          <w:szCs w:val="23"/>
        </w:rPr>
      </w:pPr>
      <w:r>
        <w:rPr>
          <w:b/>
          <w:sz w:val="23"/>
          <w:szCs w:val="23"/>
        </w:rPr>
        <w:t>Answer</w:t>
      </w:r>
      <w:r>
        <w:rPr>
          <w:rFonts w:hint="eastAsia"/>
          <w:b/>
          <w:sz w:val="23"/>
          <w:szCs w:val="23"/>
        </w:rPr>
        <w:t>:</w:t>
      </w:r>
      <w:r>
        <w:rPr>
          <w:b/>
          <w:sz w:val="23"/>
          <w:szCs w:val="23"/>
        </w:rPr>
        <w:t xml:space="preserve"> A</w:t>
      </w:r>
    </w:p>
    <w:p w:rsidR="00986168" w:rsidRDefault="00B10DE1">
      <w:pPr>
        <w:rPr>
          <w:sz w:val="23"/>
          <w:szCs w:val="23"/>
        </w:rPr>
      </w:pPr>
      <w:r>
        <w:rPr>
          <w:sz w:val="23"/>
          <w:szCs w:val="23"/>
        </w:rPr>
        <w:t>A is correct. Over-the counter options are exposed to default risk but futures contracts are standardized transactions that take place on futures exchanges and are not exposed to default risk.</w:t>
      </w:r>
    </w:p>
    <w:p w:rsidR="00986168" w:rsidRDefault="00986168">
      <w:pPr>
        <w:rPr>
          <w:sz w:val="23"/>
          <w:szCs w:val="23"/>
        </w:rPr>
      </w:pPr>
    </w:p>
    <w:p w:rsidR="00986168" w:rsidRDefault="00986168">
      <w:pPr>
        <w:rPr>
          <w:sz w:val="23"/>
          <w:szCs w:val="23"/>
        </w:rPr>
      </w:pPr>
    </w:p>
    <w:p w:rsidR="00986168" w:rsidRDefault="00B10DE1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2</w:t>
      </w:r>
      <w:r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 xml:space="preserve">Which of the following </w:t>
      </w:r>
      <w:r>
        <w:rPr>
          <w:rFonts w:hint="eastAsia"/>
          <w:i/>
          <w:sz w:val="23"/>
          <w:szCs w:val="23"/>
        </w:rPr>
        <w:t>best describes</w:t>
      </w:r>
      <w:r>
        <w:rPr>
          <w:rFonts w:hint="eastAsia"/>
          <w:sz w:val="23"/>
          <w:szCs w:val="23"/>
        </w:rPr>
        <w:t xml:space="preserve"> how derivatives are priced?</w:t>
      </w:r>
    </w:p>
    <w:p w:rsidR="00986168" w:rsidRDefault="00B10DE1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A. A hedge portfolio is used that eliminated arbitrage opportunities.</w:t>
      </w:r>
    </w:p>
    <w:p w:rsidR="00986168" w:rsidRDefault="00B10DE1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B. The payoff of the underlying is adjusted downward by the derivative value.</w:t>
      </w:r>
    </w:p>
    <w:p w:rsidR="00986168" w:rsidRDefault="00B10DE1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C. The expected future payoff of the deri</w:t>
      </w:r>
      <w:r>
        <w:rPr>
          <w:rFonts w:hint="eastAsia"/>
          <w:sz w:val="23"/>
          <w:szCs w:val="23"/>
        </w:rPr>
        <w:t xml:space="preserve">vative is discounted at </w:t>
      </w:r>
      <w:r>
        <w:rPr>
          <w:sz w:val="23"/>
          <w:szCs w:val="23"/>
        </w:rPr>
        <w:t>the</w:t>
      </w:r>
      <w:r>
        <w:rPr>
          <w:rFonts w:hint="eastAsia"/>
          <w:sz w:val="23"/>
          <w:szCs w:val="23"/>
        </w:rPr>
        <w:t xml:space="preserve"> risk-free rate plus a risk premium.</w:t>
      </w:r>
    </w:p>
    <w:p w:rsidR="00986168" w:rsidRDefault="00986168">
      <w:pPr>
        <w:rPr>
          <w:sz w:val="23"/>
          <w:szCs w:val="23"/>
        </w:rPr>
      </w:pPr>
    </w:p>
    <w:p w:rsidR="00986168" w:rsidRDefault="00B10DE1">
      <w:pPr>
        <w:rPr>
          <w:sz w:val="23"/>
          <w:szCs w:val="23"/>
        </w:rPr>
      </w:pPr>
      <w:r>
        <w:rPr>
          <w:b/>
          <w:sz w:val="23"/>
          <w:szCs w:val="23"/>
        </w:rPr>
        <w:t>Answer</w:t>
      </w:r>
      <w:r>
        <w:rPr>
          <w:rFonts w:hint="eastAsia"/>
          <w:b/>
          <w:sz w:val="23"/>
          <w:szCs w:val="23"/>
        </w:rPr>
        <w:t>:</w:t>
      </w:r>
      <w:r>
        <w:rPr>
          <w:b/>
          <w:sz w:val="23"/>
          <w:szCs w:val="23"/>
        </w:rPr>
        <w:t xml:space="preserve"> </w:t>
      </w:r>
      <w:r>
        <w:rPr>
          <w:rFonts w:hint="eastAsia"/>
          <w:b/>
          <w:sz w:val="23"/>
          <w:szCs w:val="23"/>
        </w:rPr>
        <w:t>A</w:t>
      </w:r>
    </w:p>
    <w:p w:rsidR="00986168" w:rsidRDefault="00B10DE1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A is correct. A hedge portfolio is formed that eliminated arbitrage opportunities and implies a unique price for the derivative. The other answers are incorrect because the underlyi</w:t>
      </w:r>
      <w:r>
        <w:rPr>
          <w:rFonts w:hint="eastAsia"/>
          <w:sz w:val="23"/>
          <w:szCs w:val="23"/>
        </w:rPr>
        <w:t xml:space="preserve">ng payoff if not adjusted by the derivative value and the discount rate of the </w:t>
      </w:r>
      <w:r>
        <w:rPr>
          <w:sz w:val="23"/>
          <w:szCs w:val="23"/>
        </w:rPr>
        <w:t>derivative</w:t>
      </w:r>
      <w:r>
        <w:rPr>
          <w:rFonts w:hint="eastAsia"/>
          <w:sz w:val="23"/>
          <w:szCs w:val="23"/>
        </w:rPr>
        <w:t xml:space="preserve"> does not include a risk premium.</w:t>
      </w:r>
    </w:p>
    <w:p w:rsidR="00986168" w:rsidRDefault="00986168">
      <w:pPr>
        <w:rPr>
          <w:sz w:val="23"/>
          <w:szCs w:val="23"/>
        </w:rPr>
      </w:pPr>
    </w:p>
    <w:p w:rsidR="00986168" w:rsidRDefault="00986168">
      <w:pPr>
        <w:rPr>
          <w:b/>
          <w:bCs/>
          <w:sz w:val="23"/>
          <w:szCs w:val="23"/>
        </w:rPr>
      </w:pPr>
    </w:p>
    <w:p w:rsidR="00986168" w:rsidRDefault="00B10DE1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3</w:t>
      </w:r>
      <w:r>
        <w:rPr>
          <w:sz w:val="23"/>
          <w:szCs w:val="23"/>
        </w:rPr>
        <w:t xml:space="preserve">. </w:t>
      </w:r>
      <w:r>
        <w:rPr>
          <w:rFonts w:hint="eastAsia"/>
          <w:sz w:val="23"/>
          <w:szCs w:val="23"/>
        </w:rPr>
        <w:t xml:space="preserve">Which of the following factors does </w:t>
      </w:r>
      <w:r>
        <w:rPr>
          <w:rFonts w:hint="eastAsia"/>
          <w:i/>
          <w:sz w:val="23"/>
          <w:szCs w:val="23"/>
        </w:rPr>
        <w:t>not</w:t>
      </w:r>
      <w:r>
        <w:rPr>
          <w:rFonts w:hint="eastAsia"/>
          <w:sz w:val="23"/>
          <w:szCs w:val="23"/>
        </w:rPr>
        <w:t xml:space="preserve"> affect the forward price?</w:t>
      </w:r>
    </w:p>
    <w:p w:rsidR="00986168" w:rsidRDefault="00B10DE1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A. The cost of holding the underlying.</w:t>
      </w:r>
    </w:p>
    <w:p w:rsidR="00986168" w:rsidRDefault="00B10DE1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B. Dividends or </w:t>
      </w:r>
      <w:r>
        <w:rPr>
          <w:rFonts w:hint="eastAsia"/>
          <w:sz w:val="23"/>
          <w:szCs w:val="23"/>
        </w:rPr>
        <w:t>interest paid by the underlying.</w:t>
      </w:r>
    </w:p>
    <w:p w:rsidR="00986168" w:rsidRDefault="00B10DE1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C. Whether the investor is risk averse, risk seeking, or risk neutral.</w:t>
      </w:r>
    </w:p>
    <w:p w:rsidR="00986168" w:rsidRDefault="00986168">
      <w:pPr>
        <w:rPr>
          <w:sz w:val="23"/>
          <w:szCs w:val="23"/>
        </w:rPr>
      </w:pPr>
    </w:p>
    <w:p w:rsidR="00986168" w:rsidRDefault="00B10DE1">
      <w:pPr>
        <w:rPr>
          <w:sz w:val="23"/>
          <w:szCs w:val="23"/>
        </w:rPr>
      </w:pPr>
      <w:r>
        <w:rPr>
          <w:b/>
          <w:sz w:val="23"/>
          <w:szCs w:val="23"/>
        </w:rPr>
        <w:t>Answer</w:t>
      </w:r>
      <w:r>
        <w:rPr>
          <w:rFonts w:hint="eastAsia"/>
          <w:b/>
          <w:sz w:val="23"/>
          <w:szCs w:val="23"/>
        </w:rPr>
        <w:t>: C</w:t>
      </w:r>
    </w:p>
    <w:p w:rsidR="00986168" w:rsidRDefault="00391C4B">
      <w:pPr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2A098C13" wp14:editId="30F1D007">
            <wp:simplePos x="0" y="0"/>
            <wp:positionH relativeFrom="column">
              <wp:posOffset>5317344</wp:posOffset>
            </wp:positionH>
            <wp:positionV relativeFrom="paragraph">
              <wp:posOffset>505265</wp:posOffset>
            </wp:positionV>
            <wp:extent cx="1217295" cy="1160145"/>
            <wp:effectExtent l="0" t="0" r="1905" b="1905"/>
            <wp:wrapNone/>
            <wp:docPr id="1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DE1">
        <w:rPr>
          <w:rFonts w:hint="eastAsia"/>
          <w:sz w:val="23"/>
          <w:szCs w:val="23"/>
        </w:rPr>
        <w:t xml:space="preserve">C is correct. The costs of holding the underlying, known as carrying costs, and the dividends and interest paid by the underlying are </w:t>
      </w:r>
      <w:r w:rsidR="00B10DE1">
        <w:rPr>
          <w:sz w:val="23"/>
          <w:szCs w:val="23"/>
        </w:rPr>
        <w:t>extreme</w:t>
      </w:r>
      <w:r w:rsidR="00B10DE1">
        <w:rPr>
          <w:sz w:val="23"/>
          <w:szCs w:val="23"/>
        </w:rPr>
        <w:t>ly</w:t>
      </w:r>
      <w:r w:rsidR="00B10DE1">
        <w:rPr>
          <w:rFonts w:hint="eastAsia"/>
          <w:sz w:val="23"/>
          <w:szCs w:val="23"/>
        </w:rPr>
        <w:t xml:space="preserve"> relevant to the forward price. How the investor feels about risk is </w:t>
      </w:r>
      <w:r w:rsidR="00B10DE1">
        <w:rPr>
          <w:sz w:val="23"/>
          <w:szCs w:val="23"/>
        </w:rPr>
        <w:t>irrelevant</w:t>
      </w:r>
      <w:r w:rsidR="00B10DE1">
        <w:rPr>
          <w:rFonts w:hint="eastAsia"/>
          <w:sz w:val="23"/>
          <w:szCs w:val="23"/>
        </w:rPr>
        <w:t>, because the forward price is determined by arbitrage.</w:t>
      </w:r>
    </w:p>
    <w:p w:rsidR="00986168" w:rsidRDefault="00986168">
      <w:pPr>
        <w:rPr>
          <w:sz w:val="23"/>
          <w:szCs w:val="23"/>
        </w:rPr>
      </w:pPr>
    </w:p>
    <w:p w:rsidR="00986168" w:rsidRDefault="00986168">
      <w:pPr>
        <w:rPr>
          <w:b/>
          <w:bCs/>
          <w:sz w:val="23"/>
          <w:szCs w:val="23"/>
        </w:rPr>
      </w:pPr>
    </w:p>
    <w:p w:rsidR="00986168" w:rsidRDefault="00B10DE1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4</w:t>
      </w:r>
      <w:r>
        <w:rPr>
          <w:sz w:val="23"/>
          <w:szCs w:val="23"/>
        </w:rPr>
        <w:t>. Which of the following best describes the forward rate of an FRA?</w:t>
      </w:r>
    </w:p>
    <w:p w:rsidR="00986168" w:rsidRDefault="00B10DE1">
      <w:pPr>
        <w:rPr>
          <w:sz w:val="23"/>
          <w:szCs w:val="23"/>
        </w:rPr>
      </w:pPr>
      <w:r>
        <w:rPr>
          <w:sz w:val="23"/>
          <w:szCs w:val="23"/>
        </w:rPr>
        <w:t>A. The spot rate implied by the term structure</w:t>
      </w:r>
    </w:p>
    <w:p w:rsidR="00986168" w:rsidRDefault="00B10DE1">
      <w:pPr>
        <w:rPr>
          <w:sz w:val="23"/>
          <w:szCs w:val="23"/>
        </w:rPr>
      </w:pPr>
      <w:r>
        <w:rPr>
          <w:sz w:val="23"/>
          <w:szCs w:val="23"/>
        </w:rPr>
        <w:t>B</w:t>
      </w:r>
      <w:r>
        <w:rPr>
          <w:sz w:val="23"/>
          <w:szCs w:val="23"/>
        </w:rPr>
        <w:t>. The forward rate implied by the term structure</w:t>
      </w:r>
    </w:p>
    <w:p w:rsidR="00986168" w:rsidRDefault="00B10DE1">
      <w:pPr>
        <w:rPr>
          <w:sz w:val="23"/>
          <w:szCs w:val="23"/>
        </w:rPr>
      </w:pPr>
      <w:r>
        <w:rPr>
          <w:sz w:val="23"/>
          <w:szCs w:val="23"/>
        </w:rPr>
        <w:t>C. The rate on a zero-coupon bond of maturity equal to that of the forward contract</w:t>
      </w:r>
    </w:p>
    <w:p w:rsidR="00986168" w:rsidRDefault="00986168">
      <w:pPr>
        <w:rPr>
          <w:sz w:val="23"/>
          <w:szCs w:val="23"/>
        </w:rPr>
      </w:pPr>
    </w:p>
    <w:p w:rsidR="00986168" w:rsidRDefault="00B10DE1">
      <w:pPr>
        <w:rPr>
          <w:sz w:val="23"/>
          <w:szCs w:val="23"/>
        </w:rPr>
      </w:pPr>
      <w:r>
        <w:rPr>
          <w:b/>
          <w:sz w:val="23"/>
          <w:szCs w:val="23"/>
        </w:rPr>
        <w:t>Answer</w:t>
      </w:r>
      <w:r>
        <w:rPr>
          <w:rFonts w:hint="eastAsia"/>
          <w:b/>
          <w:sz w:val="23"/>
          <w:szCs w:val="23"/>
        </w:rPr>
        <w:t>:</w:t>
      </w:r>
      <w:r>
        <w:rPr>
          <w:b/>
          <w:sz w:val="23"/>
          <w:szCs w:val="23"/>
        </w:rPr>
        <w:t xml:space="preserve"> B</w:t>
      </w:r>
    </w:p>
    <w:p w:rsidR="00986168" w:rsidRDefault="00B10DE1">
      <w:pPr>
        <w:rPr>
          <w:sz w:val="23"/>
          <w:szCs w:val="23"/>
        </w:rPr>
      </w:pPr>
      <w:r>
        <w:rPr>
          <w:sz w:val="23"/>
          <w:szCs w:val="23"/>
        </w:rPr>
        <w:t>FRAs are based on Libor, and they represent forward rates, not spot rates. Spot rates are needed to determine fo</w:t>
      </w:r>
      <w:r>
        <w:rPr>
          <w:sz w:val="23"/>
          <w:szCs w:val="23"/>
        </w:rPr>
        <w:t>rward rates, but they are not equal to forward rates. The rate on a zero-coupon bond of maturity equal to that of the forward contract describes a spot rate.</w:t>
      </w:r>
    </w:p>
    <w:p w:rsidR="00986168" w:rsidRDefault="00986168">
      <w:pPr>
        <w:rPr>
          <w:sz w:val="23"/>
          <w:szCs w:val="23"/>
        </w:rPr>
      </w:pPr>
    </w:p>
    <w:p w:rsidR="00986168" w:rsidRDefault="00986168">
      <w:pPr>
        <w:rPr>
          <w:sz w:val="23"/>
          <w:szCs w:val="23"/>
        </w:rPr>
      </w:pPr>
    </w:p>
    <w:p w:rsidR="00986168" w:rsidRDefault="00B10DE1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5</w:t>
      </w:r>
      <w:r>
        <w:rPr>
          <w:sz w:val="23"/>
          <w:szCs w:val="23"/>
        </w:rPr>
        <w:t xml:space="preserve">. </w:t>
      </w:r>
      <w:r>
        <w:rPr>
          <w:rFonts w:hint="eastAsia"/>
          <w:sz w:val="23"/>
          <w:szCs w:val="23"/>
        </w:rPr>
        <w:t>Which of the following conditions will not make futures and forward prices equivalent?</w:t>
      </w:r>
    </w:p>
    <w:p w:rsidR="00986168" w:rsidRDefault="00B10DE1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A. Int</w:t>
      </w:r>
      <w:r>
        <w:rPr>
          <w:rFonts w:hint="eastAsia"/>
          <w:sz w:val="23"/>
          <w:szCs w:val="23"/>
        </w:rPr>
        <w:t>erest rates are known.</w:t>
      </w:r>
    </w:p>
    <w:p w:rsidR="00986168" w:rsidRDefault="00B10DE1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B. Futures prices are uncorrelated with interest rates.</w:t>
      </w:r>
    </w:p>
    <w:p w:rsidR="00986168" w:rsidRDefault="00B10DE1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C. The volatility of the forward price is different from the volatility of the futures price.</w:t>
      </w:r>
    </w:p>
    <w:p w:rsidR="00986168" w:rsidRDefault="00986168">
      <w:pPr>
        <w:rPr>
          <w:sz w:val="23"/>
          <w:szCs w:val="23"/>
        </w:rPr>
      </w:pPr>
    </w:p>
    <w:p w:rsidR="00986168" w:rsidRDefault="00B10DE1">
      <w:pPr>
        <w:rPr>
          <w:sz w:val="23"/>
          <w:szCs w:val="23"/>
        </w:rPr>
      </w:pPr>
      <w:r>
        <w:rPr>
          <w:b/>
          <w:sz w:val="23"/>
          <w:szCs w:val="23"/>
        </w:rPr>
        <w:t>Answer</w:t>
      </w:r>
      <w:r>
        <w:rPr>
          <w:rFonts w:hint="eastAsia"/>
          <w:b/>
          <w:sz w:val="23"/>
          <w:szCs w:val="23"/>
        </w:rPr>
        <w:t>:</w:t>
      </w:r>
      <w:r>
        <w:rPr>
          <w:b/>
          <w:sz w:val="23"/>
          <w:szCs w:val="23"/>
        </w:rPr>
        <w:t xml:space="preserve"> </w:t>
      </w:r>
      <w:r>
        <w:rPr>
          <w:rFonts w:hint="eastAsia"/>
          <w:b/>
          <w:sz w:val="23"/>
          <w:szCs w:val="23"/>
        </w:rPr>
        <w:t>C</w:t>
      </w:r>
    </w:p>
    <w:p w:rsidR="00986168" w:rsidRDefault="00B10DE1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C is correct. Known interest rates and the condition that futures prices</w:t>
      </w:r>
      <w:r>
        <w:rPr>
          <w:rFonts w:hint="eastAsia"/>
          <w:sz w:val="23"/>
          <w:szCs w:val="23"/>
        </w:rPr>
        <w:t xml:space="preserve"> are uncorrelated with forward prices will make forward and futures prices equivalent. The volatility of forward and futures prices has no relationship to any difference.</w:t>
      </w:r>
    </w:p>
    <w:p w:rsidR="00986168" w:rsidRDefault="00986168">
      <w:pPr>
        <w:rPr>
          <w:sz w:val="23"/>
          <w:szCs w:val="23"/>
        </w:rPr>
      </w:pPr>
    </w:p>
    <w:p w:rsidR="00986168" w:rsidRDefault="00986168">
      <w:pPr>
        <w:rPr>
          <w:sz w:val="23"/>
          <w:szCs w:val="23"/>
        </w:rPr>
      </w:pPr>
    </w:p>
    <w:p w:rsidR="00986168" w:rsidRDefault="00B10DE1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6</w:t>
      </w:r>
      <w:r>
        <w:rPr>
          <w:sz w:val="23"/>
          <w:szCs w:val="23"/>
        </w:rPr>
        <w:t xml:space="preserve">. Based on put-call parity for European options, a synthetic put is </w:t>
      </w:r>
      <w:r>
        <w:rPr>
          <w:i/>
          <w:sz w:val="23"/>
          <w:szCs w:val="23"/>
        </w:rPr>
        <w:t>most likely</w:t>
      </w:r>
      <w:r>
        <w:rPr>
          <w:sz w:val="23"/>
          <w:szCs w:val="23"/>
        </w:rPr>
        <w:t xml:space="preserve"> eq</w:t>
      </w:r>
      <w:r>
        <w:rPr>
          <w:sz w:val="23"/>
          <w:szCs w:val="23"/>
        </w:rPr>
        <w:t>uivalent to a:</w:t>
      </w:r>
    </w:p>
    <w:p w:rsidR="00986168" w:rsidRDefault="00B10DE1">
      <w:pPr>
        <w:rPr>
          <w:sz w:val="23"/>
          <w:szCs w:val="23"/>
        </w:rPr>
      </w:pPr>
      <w:r>
        <w:rPr>
          <w:sz w:val="23"/>
          <w:szCs w:val="23"/>
        </w:rPr>
        <w:t>A. long call, short underlying asset, long bond.</w:t>
      </w:r>
    </w:p>
    <w:p w:rsidR="00986168" w:rsidRDefault="00B10DE1">
      <w:pPr>
        <w:rPr>
          <w:sz w:val="23"/>
          <w:szCs w:val="23"/>
        </w:rPr>
      </w:pPr>
      <w:r>
        <w:rPr>
          <w:sz w:val="23"/>
          <w:szCs w:val="23"/>
        </w:rPr>
        <w:t>B. long call, long underlying asset, short bond.</w:t>
      </w:r>
    </w:p>
    <w:p w:rsidR="00986168" w:rsidRDefault="00391C4B">
      <w:pPr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43A3DAC" wp14:editId="194DD809">
            <wp:simplePos x="0" y="0"/>
            <wp:positionH relativeFrom="column">
              <wp:posOffset>5344893</wp:posOffset>
            </wp:positionH>
            <wp:positionV relativeFrom="paragraph">
              <wp:posOffset>120210</wp:posOffset>
            </wp:positionV>
            <wp:extent cx="1293495" cy="1233805"/>
            <wp:effectExtent l="0" t="0" r="1905" b="4445"/>
            <wp:wrapNone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0DE1">
        <w:rPr>
          <w:sz w:val="23"/>
          <w:szCs w:val="23"/>
        </w:rPr>
        <w:t>C. short call, long underlying asset, short bond.</w:t>
      </w:r>
      <w:r w:rsidRPr="00391C4B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49536" behindDoc="0" locked="0" layoutInCell="1" allowOverlap="1" wp14:anchorId="287D5A28" wp14:editId="20E4500A">
            <wp:simplePos x="0" y="0"/>
            <wp:positionH relativeFrom="column">
              <wp:posOffset>464185</wp:posOffset>
            </wp:positionH>
            <wp:positionV relativeFrom="paragraph">
              <wp:posOffset>7399655</wp:posOffset>
            </wp:positionV>
            <wp:extent cx="1217295" cy="1160145"/>
            <wp:effectExtent l="0" t="0" r="1905" b="1905"/>
            <wp:wrapNone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6168" w:rsidRDefault="00986168">
      <w:pPr>
        <w:rPr>
          <w:sz w:val="22"/>
        </w:rPr>
      </w:pPr>
    </w:p>
    <w:p w:rsidR="00986168" w:rsidRDefault="00B10DE1">
      <w:pPr>
        <w:rPr>
          <w:sz w:val="23"/>
          <w:szCs w:val="23"/>
        </w:rPr>
      </w:pPr>
      <w:r>
        <w:rPr>
          <w:b/>
          <w:sz w:val="23"/>
          <w:szCs w:val="23"/>
        </w:rPr>
        <w:t>Answer</w:t>
      </w:r>
      <w:r>
        <w:rPr>
          <w:rFonts w:hint="eastAsia"/>
          <w:b/>
          <w:sz w:val="23"/>
          <w:szCs w:val="23"/>
        </w:rPr>
        <w:t>:</w:t>
      </w:r>
      <w:r>
        <w:rPr>
          <w:b/>
          <w:sz w:val="23"/>
          <w:szCs w:val="23"/>
        </w:rPr>
        <w:t xml:space="preserve"> A</w:t>
      </w:r>
    </w:p>
    <w:p w:rsidR="00986168" w:rsidRDefault="00B10DE1">
      <w:pPr>
        <w:rPr>
          <w:sz w:val="23"/>
          <w:szCs w:val="23"/>
        </w:rPr>
      </w:pPr>
      <w:r>
        <w:rPr>
          <w:sz w:val="23"/>
          <w:szCs w:val="23"/>
        </w:rPr>
        <w:t xml:space="preserve">A is correct. A Synthetic Put is equivalent to a Long Call + Short Underlying + </w:t>
      </w:r>
      <w:r>
        <w:rPr>
          <w:sz w:val="23"/>
          <w:szCs w:val="23"/>
        </w:rPr>
        <w:t>Long Bond.</w:t>
      </w:r>
    </w:p>
    <w:p w:rsidR="00986168" w:rsidRDefault="00986168">
      <w:pPr>
        <w:rPr>
          <w:sz w:val="22"/>
        </w:rPr>
      </w:pPr>
    </w:p>
    <w:p w:rsidR="00986168" w:rsidRDefault="00986168">
      <w:pPr>
        <w:rPr>
          <w:sz w:val="23"/>
          <w:szCs w:val="23"/>
        </w:rPr>
      </w:pPr>
    </w:p>
    <w:p w:rsidR="00986168" w:rsidRDefault="00B10DE1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7</w:t>
      </w:r>
      <w:r>
        <w:rPr>
          <w:sz w:val="23"/>
          <w:szCs w:val="23"/>
        </w:rPr>
        <w:t>. Which statement best describes option price sensitivities? The value of a:</w:t>
      </w:r>
    </w:p>
    <w:p w:rsidR="00986168" w:rsidRDefault="00B10DE1">
      <w:pPr>
        <w:rPr>
          <w:sz w:val="23"/>
          <w:szCs w:val="23"/>
        </w:rPr>
      </w:pPr>
      <w:r>
        <w:rPr>
          <w:sz w:val="23"/>
          <w:szCs w:val="23"/>
        </w:rPr>
        <w:t>A. call option increases as interest rates rise.</w:t>
      </w:r>
    </w:p>
    <w:p w:rsidR="00986168" w:rsidRDefault="00B10DE1">
      <w:pPr>
        <w:rPr>
          <w:sz w:val="23"/>
          <w:szCs w:val="23"/>
        </w:rPr>
      </w:pPr>
      <w:r>
        <w:rPr>
          <w:sz w:val="23"/>
          <w:szCs w:val="23"/>
        </w:rPr>
        <w:t>B. put option increases as volatility decreases.</w:t>
      </w:r>
    </w:p>
    <w:p w:rsidR="00986168" w:rsidRDefault="00391C4B">
      <w:pPr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410BC9F" wp14:editId="5A657EC0">
            <wp:simplePos x="0" y="0"/>
            <wp:positionH relativeFrom="column">
              <wp:posOffset>4894677</wp:posOffset>
            </wp:positionH>
            <wp:positionV relativeFrom="paragraph">
              <wp:posOffset>25303</wp:posOffset>
            </wp:positionV>
            <wp:extent cx="1217295" cy="1160145"/>
            <wp:effectExtent l="0" t="0" r="1905" b="1905"/>
            <wp:wrapNone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DE1">
        <w:rPr>
          <w:sz w:val="23"/>
          <w:szCs w:val="23"/>
        </w:rPr>
        <w:t>C. put option decreases as interest rates decline.</w:t>
      </w:r>
    </w:p>
    <w:p w:rsidR="00986168" w:rsidRDefault="00986168">
      <w:pPr>
        <w:rPr>
          <w:sz w:val="23"/>
          <w:szCs w:val="23"/>
        </w:rPr>
      </w:pPr>
    </w:p>
    <w:p w:rsidR="00986168" w:rsidRDefault="00B10DE1">
      <w:pPr>
        <w:rPr>
          <w:sz w:val="23"/>
          <w:szCs w:val="23"/>
        </w:rPr>
      </w:pPr>
      <w:r>
        <w:rPr>
          <w:b/>
          <w:sz w:val="23"/>
          <w:szCs w:val="23"/>
        </w:rPr>
        <w:t>Answer</w:t>
      </w:r>
      <w:r>
        <w:rPr>
          <w:rFonts w:hint="eastAsia"/>
          <w:b/>
          <w:sz w:val="23"/>
          <w:szCs w:val="23"/>
        </w:rPr>
        <w:t>:</w:t>
      </w:r>
      <w:r>
        <w:rPr>
          <w:b/>
          <w:sz w:val="23"/>
          <w:szCs w:val="23"/>
        </w:rPr>
        <w:t xml:space="preserve"> A</w:t>
      </w:r>
    </w:p>
    <w:p w:rsidR="00986168" w:rsidRDefault="00B10DE1">
      <w:pPr>
        <w:rPr>
          <w:sz w:val="23"/>
          <w:szCs w:val="23"/>
        </w:rPr>
      </w:pPr>
      <w:r>
        <w:rPr>
          <w:sz w:val="23"/>
          <w:szCs w:val="23"/>
        </w:rPr>
        <w:t xml:space="preserve">A is </w:t>
      </w:r>
      <w:r>
        <w:rPr>
          <w:sz w:val="23"/>
          <w:szCs w:val="23"/>
        </w:rPr>
        <w:t>correct. Call options increase in value as interest rates rise.</w:t>
      </w:r>
    </w:p>
    <w:p w:rsidR="00986168" w:rsidRDefault="00986168">
      <w:pPr>
        <w:rPr>
          <w:sz w:val="23"/>
          <w:szCs w:val="23"/>
        </w:rPr>
      </w:pPr>
    </w:p>
    <w:p w:rsidR="00986168" w:rsidRDefault="00986168">
      <w:pPr>
        <w:rPr>
          <w:sz w:val="23"/>
          <w:szCs w:val="23"/>
        </w:rPr>
      </w:pPr>
    </w:p>
    <w:p w:rsidR="00986168" w:rsidRDefault="00B10DE1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8</w:t>
      </w:r>
      <w:r>
        <w:rPr>
          <w:sz w:val="23"/>
          <w:szCs w:val="23"/>
        </w:rPr>
        <w:t>.</w:t>
      </w:r>
      <w:r>
        <w:rPr>
          <w:rFonts w:hint="eastAsia"/>
          <w:sz w:val="23"/>
          <w:szCs w:val="23"/>
        </w:rPr>
        <w:t xml:space="preserve"> Which of the following </w:t>
      </w:r>
      <w:r>
        <w:rPr>
          <w:rFonts w:hint="eastAsia"/>
          <w:i/>
          <w:sz w:val="23"/>
          <w:szCs w:val="23"/>
        </w:rPr>
        <w:t>best</w:t>
      </w:r>
      <w:r>
        <w:rPr>
          <w:rFonts w:hint="eastAsia"/>
          <w:sz w:val="23"/>
          <w:szCs w:val="23"/>
        </w:rPr>
        <w:t xml:space="preserve"> describes the binomial option pricing formula?</w:t>
      </w:r>
    </w:p>
    <w:p w:rsidR="00986168" w:rsidRDefault="00B10DE1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A. The expected payoff is discounted at the risk-free rate plus a risk premium.</w:t>
      </w:r>
    </w:p>
    <w:p w:rsidR="00986168" w:rsidRDefault="00B10DE1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B. The spot price is compounded </w:t>
      </w:r>
      <w:r>
        <w:rPr>
          <w:rFonts w:hint="eastAsia"/>
          <w:sz w:val="23"/>
          <w:szCs w:val="23"/>
        </w:rPr>
        <w:t>at the risk-free rate minus the volatility premium.</w:t>
      </w:r>
    </w:p>
    <w:p w:rsidR="00986168" w:rsidRDefault="00B10DE1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C. The expected payoff based on risk-neutral probabilities is discounted at the risk-free rate.</w:t>
      </w:r>
    </w:p>
    <w:p w:rsidR="00986168" w:rsidRDefault="00986168">
      <w:pPr>
        <w:rPr>
          <w:sz w:val="23"/>
          <w:szCs w:val="23"/>
        </w:rPr>
      </w:pPr>
    </w:p>
    <w:p w:rsidR="00986168" w:rsidRDefault="00B10DE1">
      <w:pPr>
        <w:rPr>
          <w:sz w:val="23"/>
          <w:szCs w:val="23"/>
        </w:rPr>
      </w:pPr>
      <w:r>
        <w:rPr>
          <w:b/>
          <w:sz w:val="23"/>
          <w:szCs w:val="23"/>
        </w:rPr>
        <w:t>Answer</w:t>
      </w:r>
      <w:r>
        <w:rPr>
          <w:rFonts w:hint="eastAsia"/>
          <w:b/>
          <w:sz w:val="23"/>
          <w:szCs w:val="23"/>
        </w:rPr>
        <w:t>:</w:t>
      </w:r>
      <w:r>
        <w:rPr>
          <w:b/>
          <w:sz w:val="23"/>
          <w:szCs w:val="23"/>
        </w:rPr>
        <w:t xml:space="preserve"> </w:t>
      </w:r>
      <w:r>
        <w:rPr>
          <w:rFonts w:hint="eastAsia"/>
          <w:b/>
          <w:sz w:val="23"/>
          <w:szCs w:val="23"/>
        </w:rPr>
        <w:t>C</w:t>
      </w:r>
    </w:p>
    <w:p w:rsidR="00986168" w:rsidRDefault="00B10DE1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C is correct. Risk-neutral probabilities are sued, and discounting is at the risk-free rate. Ther</w:t>
      </w:r>
      <w:r>
        <w:rPr>
          <w:rFonts w:hint="eastAsia"/>
          <w:sz w:val="23"/>
          <w:szCs w:val="23"/>
        </w:rPr>
        <w:t>e is no risk premium incorporated into option pricing because of the use of arbitrage.</w:t>
      </w:r>
    </w:p>
    <w:p w:rsidR="00986168" w:rsidRDefault="00986168">
      <w:pPr>
        <w:rPr>
          <w:sz w:val="23"/>
          <w:szCs w:val="23"/>
        </w:rPr>
      </w:pPr>
    </w:p>
    <w:p w:rsidR="00986168" w:rsidRDefault="00986168">
      <w:pPr>
        <w:rPr>
          <w:b/>
          <w:sz w:val="23"/>
          <w:szCs w:val="23"/>
        </w:rPr>
      </w:pPr>
    </w:p>
    <w:p w:rsidR="00986168" w:rsidRDefault="00B10DE1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9</w:t>
      </w:r>
      <w:r>
        <w:rPr>
          <w:sz w:val="23"/>
          <w:szCs w:val="23"/>
        </w:rPr>
        <w:t xml:space="preserve">. </w:t>
      </w:r>
      <w:r>
        <w:rPr>
          <w:rFonts w:hint="eastAsia"/>
          <w:sz w:val="23"/>
          <w:szCs w:val="23"/>
        </w:rPr>
        <w:t xml:space="preserve">With respect to American calls, which of the following statements is </w:t>
      </w:r>
      <w:r>
        <w:rPr>
          <w:rFonts w:hint="eastAsia"/>
          <w:i/>
          <w:sz w:val="23"/>
          <w:szCs w:val="23"/>
        </w:rPr>
        <w:t>most</w:t>
      </w:r>
      <w:r>
        <w:rPr>
          <w:rFonts w:hint="eastAsia"/>
          <w:sz w:val="23"/>
          <w:szCs w:val="23"/>
        </w:rPr>
        <w:t xml:space="preserve"> accurate?</w:t>
      </w:r>
    </w:p>
    <w:p w:rsidR="00986168" w:rsidRDefault="00B10DE1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A. American calls should be exercised early if the underlying has reached its ex</w:t>
      </w:r>
      <w:r>
        <w:rPr>
          <w:rFonts w:hint="eastAsia"/>
          <w:sz w:val="23"/>
          <w:szCs w:val="23"/>
        </w:rPr>
        <w:t>pected maximum price.</w:t>
      </w:r>
    </w:p>
    <w:p w:rsidR="00986168" w:rsidRDefault="00B10DE1">
      <w:pPr>
        <w:jc w:val="left"/>
        <w:rPr>
          <w:sz w:val="23"/>
          <w:szCs w:val="23"/>
        </w:rPr>
      </w:pPr>
      <w:r>
        <w:rPr>
          <w:rFonts w:hint="eastAsia"/>
          <w:sz w:val="23"/>
          <w:szCs w:val="23"/>
        </w:rPr>
        <w:t>B. American calls should be exercised early if the underlying has a lower expected return than the risk-free rate.</w:t>
      </w:r>
    </w:p>
    <w:p w:rsidR="00986168" w:rsidRDefault="00B10DE1">
      <w:pPr>
        <w:jc w:val="left"/>
        <w:rPr>
          <w:sz w:val="23"/>
          <w:szCs w:val="23"/>
        </w:rPr>
      </w:pPr>
      <w:r>
        <w:rPr>
          <w:rFonts w:hint="eastAsia"/>
          <w:sz w:val="23"/>
          <w:szCs w:val="23"/>
        </w:rPr>
        <w:lastRenderedPageBreak/>
        <w:t>C. American calls should be exercised early if there is a dividend or other cash payment on the underlying.</w:t>
      </w:r>
    </w:p>
    <w:p w:rsidR="00986168" w:rsidRDefault="00986168">
      <w:pPr>
        <w:rPr>
          <w:sz w:val="23"/>
          <w:szCs w:val="23"/>
        </w:rPr>
      </w:pPr>
    </w:p>
    <w:p w:rsidR="00986168" w:rsidRDefault="00B10DE1">
      <w:pPr>
        <w:rPr>
          <w:sz w:val="23"/>
          <w:szCs w:val="23"/>
        </w:rPr>
      </w:pPr>
      <w:bookmarkStart w:id="0" w:name="_GoBack"/>
      <w:bookmarkEnd w:id="0"/>
      <w:r>
        <w:rPr>
          <w:b/>
          <w:sz w:val="23"/>
          <w:szCs w:val="23"/>
        </w:rPr>
        <w:t>Answer</w:t>
      </w:r>
      <w:r>
        <w:rPr>
          <w:rFonts w:hint="eastAsia"/>
          <w:b/>
          <w:sz w:val="23"/>
          <w:szCs w:val="23"/>
        </w:rPr>
        <w:t>:</w:t>
      </w:r>
      <w:r>
        <w:rPr>
          <w:b/>
          <w:sz w:val="23"/>
          <w:szCs w:val="23"/>
        </w:rPr>
        <w:t xml:space="preserve"> </w:t>
      </w:r>
      <w:r>
        <w:rPr>
          <w:rFonts w:hint="eastAsia"/>
          <w:b/>
          <w:sz w:val="23"/>
          <w:szCs w:val="23"/>
        </w:rPr>
        <w:t>C</w:t>
      </w:r>
    </w:p>
    <w:p w:rsidR="00986168" w:rsidRDefault="00B10DE1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C is correct. Cash payments on the underlying are the only reason to exercise American calls early. Interest rates, the expected return on the underlying, and any notion of a maximum price is irrelevant. But note that a dividend does not mean that early ex</w:t>
      </w:r>
      <w:r>
        <w:rPr>
          <w:rFonts w:hint="eastAsia"/>
          <w:sz w:val="23"/>
          <w:szCs w:val="23"/>
        </w:rPr>
        <w:t>ercise should automatically be conducted. A dividend is only a necessary condition to justify early exercise for calls.</w:t>
      </w:r>
    </w:p>
    <w:p w:rsidR="00986168" w:rsidRDefault="00986168">
      <w:pPr>
        <w:rPr>
          <w:sz w:val="23"/>
          <w:szCs w:val="23"/>
        </w:rPr>
      </w:pPr>
    </w:p>
    <w:p w:rsidR="00986168" w:rsidRDefault="00986168">
      <w:pPr>
        <w:rPr>
          <w:sz w:val="23"/>
          <w:szCs w:val="23"/>
        </w:rPr>
      </w:pPr>
    </w:p>
    <w:p w:rsidR="00986168" w:rsidRDefault="00391C4B">
      <w:pPr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73EA7C50" wp14:editId="38E01147">
            <wp:simplePos x="0" y="0"/>
            <wp:positionH relativeFrom="column">
              <wp:posOffset>5399209</wp:posOffset>
            </wp:positionH>
            <wp:positionV relativeFrom="paragraph">
              <wp:posOffset>455636</wp:posOffset>
            </wp:positionV>
            <wp:extent cx="1026208" cy="994655"/>
            <wp:effectExtent l="0" t="0" r="0" b="0"/>
            <wp:wrapNone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208" cy="9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DE1">
        <w:rPr>
          <w:rFonts w:hint="eastAsia"/>
          <w:sz w:val="23"/>
          <w:szCs w:val="23"/>
        </w:rPr>
        <w:t xml:space="preserve">10. </w:t>
      </w:r>
      <w:r w:rsidR="00B10DE1">
        <w:rPr>
          <w:sz w:val="23"/>
          <w:szCs w:val="23"/>
        </w:rPr>
        <w:t>An investor purchases ABC stock at $71 per share and executes a protective put strategy. The put option used in the strategy has a</w:t>
      </w:r>
      <w:r w:rsidR="00B10DE1">
        <w:rPr>
          <w:sz w:val="23"/>
          <w:szCs w:val="23"/>
        </w:rPr>
        <w:t xml:space="preserve"> strike price of $66, expires in two months, and is purchased for $1.45. At expiration, the protective put strategy breaks even when the price of ABC </w:t>
      </w:r>
      <w:r w:rsidR="00B10DE1">
        <w:rPr>
          <w:i/>
          <w:sz w:val="23"/>
          <w:szCs w:val="23"/>
        </w:rPr>
        <w:t xml:space="preserve">is closest </w:t>
      </w:r>
      <w:r w:rsidR="00B10DE1">
        <w:rPr>
          <w:sz w:val="23"/>
          <w:szCs w:val="23"/>
        </w:rPr>
        <w:t>to:</w:t>
      </w:r>
    </w:p>
    <w:p w:rsidR="00986168" w:rsidRDefault="00B10DE1">
      <w:pPr>
        <w:rPr>
          <w:sz w:val="23"/>
          <w:szCs w:val="23"/>
        </w:rPr>
      </w:pPr>
      <w:r>
        <w:rPr>
          <w:sz w:val="23"/>
          <w:szCs w:val="23"/>
        </w:rPr>
        <w:t>A. $64.55.</w:t>
      </w:r>
    </w:p>
    <w:p w:rsidR="00986168" w:rsidRDefault="00B10DE1">
      <w:pPr>
        <w:rPr>
          <w:sz w:val="23"/>
          <w:szCs w:val="23"/>
        </w:rPr>
      </w:pPr>
      <w:r>
        <w:rPr>
          <w:sz w:val="23"/>
          <w:szCs w:val="23"/>
        </w:rPr>
        <w:t>B. $67.45.</w:t>
      </w:r>
      <w:r w:rsidR="00391C4B" w:rsidRPr="00391C4B">
        <w:rPr>
          <w:noProof/>
        </w:rPr>
        <w:t xml:space="preserve"> </w:t>
      </w:r>
    </w:p>
    <w:p w:rsidR="00986168" w:rsidRDefault="00B10DE1">
      <w:pPr>
        <w:rPr>
          <w:sz w:val="23"/>
          <w:szCs w:val="23"/>
        </w:rPr>
      </w:pPr>
      <w:r>
        <w:rPr>
          <w:sz w:val="23"/>
          <w:szCs w:val="23"/>
        </w:rPr>
        <w:t>C. $72.45.</w:t>
      </w:r>
    </w:p>
    <w:p w:rsidR="00986168" w:rsidRDefault="00986168">
      <w:pPr>
        <w:rPr>
          <w:b/>
          <w:sz w:val="23"/>
          <w:szCs w:val="23"/>
        </w:rPr>
      </w:pPr>
    </w:p>
    <w:p w:rsidR="00986168" w:rsidRDefault="00B10DE1">
      <w:pPr>
        <w:rPr>
          <w:sz w:val="22"/>
        </w:rPr>
      </w:pPr>
      <w:r>
        <w:rPr>
          <w:rFonts w:hint="eastAsia"/>
          <w:b/>
          <w:sz w:val="22"/>
        </w:rPr>
        <w:t>Answer: C</w:t>
      </w:r>
    </w:p>
    <w:p w:rsidR="00986168" w:rsidRDefault="00B10DE1">
      <w:pPr>
        <w:rPr>
          <w:sz w:val="23"/>
          <w:szCs w:val="23"/>
        </w:rPr>
      </w:pPr>
      <w:r>
        <w:rPr>
          <w:sz w:val="22"/>
        </w:rPr>
        <w:t>C is correct because to break even, the underly</w:t>
      </w:r>
      <w:r>
        <w:rPr>
          <w:sz w:val="22"/>
        </w:rPr>
        <w:t>ing stock must be at least as high as the amount expended up front to establish the position. To establish the protective put, the investor would have spent $71 + $1.45 = $72.45.</w:t>
      </w:r>
    </w:p>
    <w:p w:rsidR="00986168" w:rsidRDefault="00391C4B">
      <w:pPr>
        <w:rPr>
          <w:b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84352" behindDoc="0" locked="0" layoutInCell="1" allowOverlap="1" wp14:anchorId="155856C1" wp14:editId="3A33560A">
            <wp:simplePos x="0" y="0"/>
            <wp:positionH relativeFrom="column">
              <wp:posOffset>351351</wp:posOffset>
            </wp:positionH>
            <wp:positionV relativeFrom="paragraph">
              <wp:posOffset>3390118</wp:posOffset>
            </wp:positionV>
            <wp:extent cx="1217295" cy="1160145"/>
            <wp:effectExtent l="0" t="0" r="1905" b="1905"/>
            <wp:wrapNone/>
            <wp:docPr id="11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92115B2" wp14:editId="0703A1F2">
            <wp:simplePos x="0" y="0"/>
            <wp:positionH relativeFrom="column">
              <wp:posOffset>5847519</wp:posOffset>
            </wp:positionH>
            <wp:positionV relativeFrom="paragraph">
              <wp:posOffset>5662001</wp:posOffset>
            </wp:positionV>
            <wp:extent cx="965754" cy="935273"/>
            <wp:effectExtent l="0" t="0" r="0" b="0"/>
            <wp:wrapNone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5754" cy="935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6168">
      <w:headerReference w:type="default" r:id="rId11"/>
      <w:footerReference w:type="default" r:id="rId12"/>
      <w:pgSz w:w="11906" w:h="16838"/>
      <w:pgMar w:top="1440" w:right="1133" w:bottom="1276" w:left="1134" w:header="851" w:footer="61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DE1" w:rsidRDefault="00B10DE1">
      <w:r>
        <w:separator/>
      </w:r>
    </w:p>
  </w:endnote>
  <w:endnote w:type="continuationSeparator" w:id="0">
    <w:p w:rsidR="00B10DE1" w:rsidRDefault="00B10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168" w:rsidRDefault="00B10DE1">
    <w:pPr>
      <w:pStyle w:val="a5"/>
      <w:pBdr>
        <w:top w:val="single" w:sz="4" w:space="1" w:color="A5A5A5" w:themeColor="background1" w:themeShade="A5"/>
      </w:pBdr>
      <w:wordWrap w:val="0"/>
      <w:jc w:val="right"/>
      <w:rPr>
        <w:color w:val="7F7F7F" w:themeColor="background1" w:themeShade="7F"/>
      </w:rPr>
    </w:pPr>
    <w:r>
      <w:rPr>
        <w:color w:val="7F7F7F" w:themeColor="background1" w:themeShade="7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left:0;text-align:left;margin-left:433.15pt;margin-top:-16.65pt;width:41.3pt;height:18.25pt;z-index:251697152;mso-width-relative:page;mso-height-relative:page" filled="f" stroked="f">
          <v:textbox inset=",0,,0">
            <w:txbxContent>
              <w:p w:rsidR="00986168" w:rsidRDefault="00B10DE1">
                <w:pPr>
                  <w:jc w:val="center"/>
                  <w:rPr>
                    <w:color w:val="4F81BD" w:themeColor="accent1"/>
                  </w:rPr>
                </w:pPr>
                <w:r>
                  <w:rPr>
                    <w:rFonts w:hint="eastAsia"/>
                  </w:rPr>
                  <w:t>-</w:t>
                </w: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391C4B" w:rsidRPr="00391C4B">
                  <w:rPr>
                    <w:noProof/>
                    <w:lang w:val="zh-CN"/>
                  </w:rPr>
                  <w:t>2</w:t>
                </w:r>
                <w:r>
                  <w:rPr>
                    <w:lang w:val="zh-CN"/>
                  </w:rPr>
                  <w:fldChar w:fldCharType="end"/>
                </w:r>
                <w:r>
                  <w:rPr>
                    <w:rFonts w:hint="eastAsia"/>
                  </w:rPr>
                  <w:t>-</w:t>
                </w:r>
              </w:p>
            </w:txbxContent>
          </v:textbox>
        </v:shape>
      </w:pict>
    </w:r>
    <w:sdt>
      <w:sdtPr>
        <w:alias w:val="公司"/>
        <w:id w:val="76161118"/>
        <w:placeholder>
          <w:docPart w:val="A0F7A561D771482C9B76A384459B5920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rPr>
            <w:rFonts w:hint="eastAsia"/>
          </w:rPr>
          <w:t>学服：</w:t>
        </w:r>
        <w:r>
          <w:rPr>
            <w:rFonts w:hint="eastAsia"/>
          </w:rPr>
          <w:t xml:space="preserve">021-51210513  </w:t>
        </w:r>
        <w:r>
          <w:rPr>
            <w:rFonts w:hint="eastAsia"/>
          </w:rPr>
          <w:t>咨询：</w:t>
        </w:r>
        <w:r>
          <w:rPr>
            <w:rFonts w:hint="eastAsia"/>
          </w:rPr>
          <w:t xml:space="preserve">400-600-8011  </w:t>
        </w:r>
        <w:r>
          <w:rPr>
            <w:rFonts w:hint="eastAsia"/>
          </w:rPr>
          <w:t>邮箱：</w:t>
        </w:r>
        <w:r>
          <w:rPr>
            <w:rFonts w:hint="eastAsia"/>
          </w:rPr>
          <w:t xml:space="preserve">cfa@gaodun.cn  </w:t>
        </w:r>
        <w:r>
          <w:rPr>
            <w:rFonts w:hint="eastAsia"/>
          </w:rPr>
          <w:t>网站：</w:t>
        </w:r>
        <w:r>
          <w:rPr>
            <w:rFonts w:hint="eastAsia"/>
          </w:rPr>
          <w:t>cfa.gaodun.cn</w:t>
        </w:r>
      </w:sdtContent>
    </w:sdt>
    <w:r>
      <w:rPr>
        <w:color w:val="7F7F7F" w:themeColor="background1" w:themeShade="7F"/>
        <w:lang w:val="zh-CN"/>
      </w:rPr>
      <w:t>|</w:t>
    </w:r>
    <w:sdt>
      <w:sdtPr>
        <w:rPr>
          <w:b/>
        </w:rPr>
        <w:alias w:val="地址"/>
        <w:id w:val="76161122"/>
        <w:placeholder>
          <w:docPart w:val="1E11AA381CAA41E7AE1E8A726AB6049E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>
          <w:rPr>
            <w:rFonts w:hint="eastAsia"/>
            <w:b/>
          </w:rPr>
          <w:t>高顿财经</w:t>
        </w:r>
        <w:r>
          <w:rPr>
            <w:rFonts w:hint="eastAsia"/>
            <w:b/>
          </w:rPr>
          <w:t xml:space="preserve">  </w:t>
        </w:r>
      </w:sdtContent>
    </w:sdt>
  </w:p>
  <w:p w:rsidR="00986168" w:rsidRDefault="009861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DE1" w:rsidRDefault="00B10DE1">
      <w:r>
        <w:separator/>
      </w:r>
    </w:p>
  </w:footnote>
  <w:footnote w:type="continuationSeparator" w:id="0">
    <w:p w:rsidR="00B10DE1" w:rsidRDefault="00B10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168" w:rsidRDefault="00B10DE1">
    <w:pPr>
      <w:pStyle w:val="a7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left:0;text-align:left;margin-left:353.65pt;margin-top:-19.15pt;width:162.9pt;height:40.5pt;z-index:251781120;mso-width-relative:page;mso-height-relative:page" filled="f" stroked="f">
          <v:textbox>
            <w:txbxContent>
              <w:p w:rsidR="00986168" w:rsidRDefault="00B10DE1">
                <w:pPr>
                  <w:jc w:val="center"/>
                  <w:rPr>
                    <w:rFonts w:ascii="黑体" w:eastAsia="黑体"/>
                    <w:sz w:val="24"/>
                    <w:szCs w:val="24"/>
                  </w:rPr>
                </w:pPr>
                <w:r>
                  <w:rPr>
                    <w:rFonts w:ascii="黑体" w:eastAsia="黑体" w:hint="eastAsia"/>
                    <w:sz w:val="24"/>
                    <w:szCs w:val="24"/>
                  </w:rPr>
                  <w:t>财经学习，只</w:t>
                </w:r>
                <w:proofErr w:type="gramStart"/>
                <w:r>
                  <w:rPr>
                    <w:rFonts w:ascii="黑体" w:eastAsia="黑体" w:hint="eastAsia"/>
                    <w:sz w:val="24"/>
                    <w:szCs w:val="24"/>
                  </w:rPr>
                  <w:t>在高顿</w:t>
                </w:r>
                <w:proofErr w:type="gramEnd"/>
                <w:r>
                  <w:rPr>
                    <w:rFonts w:ascii="黑体" w:eastAsia="黑体"/>
                    <w:sz w:val="24"/>
                    <w:szCs w:val="24"/>
                  </w:rPr>
                  <w:t>http://</w:t>
                </w:r>
                <w:r>
                  <w:rPr>
                    <w:rFonts w:ascii="黑体" w:eastAsia="黑体" w:hint="eastAsia"/>
                    <w:sz w:val="24"/>
                    <w:szCs w:val="24"/>
                  </w:rPr>
                  <w:t>finance</w:t>
                </w:r>
                <w:r>
                  <w:rPr>
                    <w:rFonts w:ascii="黑体" w:eastAsia="黑体" w:hint="eastAsia"/>
                    <w:sz w:val="24"/>
                    <w:szCs w:val="24"/>
                  </w:rPr>
                  <w:t>.</w:t>
                </w:r>
                <w:r>
                  <w:rPr>
                    <w:rFonts w:ascii="黑体" w:eastAsia="黑体"/>
                    <w:sz w:val="24"/>
                    <w:szCs w:val="24"/>
                  </w:rPr>
                  <w:t>gaodun.cn</w:t>
                </w:r>
              </w:p>
              <w:p w:rsidR="00986168" w:rsidRDefault="00986168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740160" behindDoc="0" locked="0" layoutInCell="1" allowOverlap="1">
          <wp:simplePos x="0" y="0"/>
          <wp:positionH relativeFrom="column">
            <wp:posOffset>-24765</wp:posOffset>
          </wp:positionH>
          <wp:positionV relativeFrom="paragraph">
            <wp:posOffset>-273050</wp:posOffset>
          </wp:positionV>
          <wp:extent cx="1256665" cy="466725"/>
          <wp:effectExtent l="0" t="0" r="635" b="9525"/>
          <wp:wrapSquare wrapText="bothSides"/>
          <wp:docPr id="3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rcRect r="62617"/>
                  <a:stretch>
                    <a:fillRect/>
                  </a:stretch>
                </pic:blipFill>
                <pic:spPr>
                  <a:xfrm>
                    <a:off x="0" y="0"/>
                    <a:ext cx="1256665" cy="4667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986168" w:rsidRDefault="00986168">
    <w:pPr>
      <w:pStyle w:val="a7"/>
    </w:pPr>
  </w:p>
  <w:p w:rsidR="00986168" w:rsidRDefault="00986168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F7E"/>
    <w:rsid w:val="000213D0"/>
    <w:rsid w:val="000262EB"/>
    <w:rsid w:val="00076429"/>
    <w:rsid w:val="000A1E27"/>
    <w:rsid w:val="000A71D4"/>
    <w:rsid w:val="000E3572"/>
    <w:rsid w:val="000F3448"/>
    <w:rsid w:val="001009FA"/>
    <w:rsid w:val="0010549D"/>
    <w:rsid w:val="00112B91"/>
    <w:rsid w:val="001155AF"/>
    <w:rsid w:val="001162D8"/>
    <w:rsid w:val="00143AC9"/>
    <w:rsid w:val="00152D38"/>
    <w:rsid w:val="001648F3"/>
    <w:rsid w:val="00173BCA"/>
    <w:rsid w:val="0018274C"/>
    <w:rsid w:val="0022439F"/>
    <w:rsid w:val="00235764"/>
    <w:rsid w:val="00295F0F"/>
    <w:rsid w:val="002A53CD"/>
    <w:rsid w:val="002A5D66"/>
    <w:rsid w:val="002B1918"/>
    <w:rsid w:val="002B3BA1"/>
    <w:rsid w:val="002B7392"/>
    <w:rsid w:val="002C3314"/>
    <w:rsid w:val="002C4D66"/>
    <w:rsid w:val="002C64E8"/>
    <w:rsid w:val="002E4DEB"/>
    <w:rsid w:val="00306881"/>
    <w:rsid w:val="00331671"/>
    <w:rsid w:val="0034189C"/>
    <w:rsid w:val="00391C4B"/>
    <w:rsid w:val="00394AB3"/>
    <w:rsid w:val="003C27EC"/>
    <w:rsid w:val="003E1D96"/>
    <w:rsid w:val="0041282B"/>
    <w:rsid w:val="00440193"/>
    <w:rsid w:val="00481277"/>
    <w:rsid w:val="00491A3A"/>
    <w:rsid w:val="00494FE9"/>
    <w:rsid w:val="004F2BF1"/>
    <w:rsid w:val="00500A13"/>
    <w:rsid w:val="00522601"/>
    <w:rsid w:val="00532306"/>
    <w:rsid w:val="0055699D"/>
    <w:rsid w:val="00564BC0"/>
    <w:rsid w:val="00573CA2"/>
    <w:rsid w:val="005E3FA0"/>
    <w:rsid w:val="00600C94"/>
    <w:rsid w:val="00605384"/>
    <w:rsid w:val="00623A57"/>
    <w:rsid w:val="00631B24"/>
    <w:rsid w:val="00636ECD"/>
    <w:rsid w:val="00681CEB"/>
    <w:rsid w:val="0069291D"/>
    <w:rsid w:val="006B5FD4"/>
    <w:rsid w:val="006E30B8"/>
    <w:rsid w:val="006F1FC9"/>
    <w:rsid w:val="006F488C"/>
    <w:rsid w:val="00707B07"/>
    <w:rsid w:val="00710D2B"/>
    <w:rsid w:val="00721C28"/>
    <w:rsid w:val="00764332"/>
    <w:rsid w:val="00783579"/>
    <w:rsid w:val="007A3678"/>
    <w:rsid w:val="007F7C48"/>
    <w:rsid w:val="00805C93"/>
    <w:rsid w:val="00820624"/>
    <w:rsid w:val="00820BF2"/>
    <w:rsid w:val="0082121C"/>
    <w:rsid w:val="00821DE0"/>
    <w:rsid w:val="00830ACD"/>
    <w:rsid w:val="00837D9B"/>
    <w:rsid w:val="008404C3"/>
    <w:rsid w:val="00847075"/>
    <w:rsid w:val="00857BB1"/>
    <w:rsid w:val="008B2240"/>
    <w:rsid w:val="008E76A2"/>
    <w:rsid w:val="008F657D"/>
    <w:rsid w:val="00924787"/>
    <w:rsid w:val="00936DCC"/>
    <w:rsid w:val="00941CE6"/>
    <w:rsid w:val="00944F68"/>
    <w:rsid w:val="00955E03"/>
    <w:rsid w:val="00972EF0"/>
    <w:rsid w:val="00986168"/>
    <w:rsid w:val="00A14D29"/>
    <w:rsid w:val="00A17AB3"/>
    <w:rsid w:val="00A2731A"/>
    <w:rsid w:val="00A46DD5"/>
    <w:rsid w:val="00A53659"/>
    <w:rsid w:val="00A7372D"/>
    <w:rsid w:val="00A74FA3"/>
    <w:rsid w:val="00A82399"/>
    <w:rsid w:val="00AA0EF9"/>
    <w:rsid w:val="00AA4497"/>
    <w:rsid w:val="00AA5F61"/>
    <w:rsid w:val="00AB7BF8"/>
    <w:rsid w:val="00AC52D6"/>
    <w:rsid w:val="00AD0F7E"/>
    <w:rsid w:val="00AD15A5"/>
    <w:rsid w:val="00B10DE1"/>
    <w:rsid w:val="00B23221"/>
    <w:rsid w:val="00B317E4"/>
    <w:rsid w:val="00B34503"/>
    <w:rsid w:val="00B36C5E"/>
    <w:rsid w:val="00B55718"/>
    <w:rsid w:val="00B86451"/>
    <w:rsid w:val="00B95F6C"/>
    <w:rsid w:val="00BA380F"/>
    <w:rsid w:val="00BD2532"/>
    <w:rsid w:val="00BF2C05"/>
    <w:rsid w:val="00C13261"/>
    <w:rsid w:val="00C42EFE"/>
    <w:rsid w:val="00C8087F"/>
    <w:rsid w:val="00CB4305"/>
    <w:rsid w:val="00CC1229"/>
    <w:rsid w:val="00CC62A7"/>
    <w:rsid w:val="00CD5AD7"/>
    <w:rsid w:val="00CE318F"/>
    <w:rsid w:val="00D02B2A"/>
    <w:rsid w:val="00D07AD1"/>
    <w:rsid w:val="00D64CF6"/>
    <w:rsid w:val="00D672D8"/>
    <w:rsid w:val="00D73476"/>
    <w:rsid w:val="00D74F3F"/>
    <w:rsid w:val="00D857DA"/>
    <w:rsid w:val="00D95F27"/>
    <w:rsid w:val="00DC0648"/>
    <w:rsid w:val="00DC48E9"/>
    <w:rsid w:val="00DC4958"/>
    <w:rsid w:val="00DD23B9"/>
    <w:rsid w:val="00DD3C17"/>
    <w:rsid w:val="00E05F53"/>
    <w:rsid w:val="00E4560C"/>
    <w:rsid w:val="00E82432"/>
    <w:rsid w:val="00E83613"/>
    <w:rsid w:val="00E93903"/>
    <w:rsid w:val="00EA27EB"/>
    <w:rsid w:val="00EB48A8"/>
    <w:rsid w:val="00EE7465"/>
    <w:rsid w:val="00F01A14"/>
    <w:rsid w:val="00F1088A"/>
    <w:rsid w:val="00F17F9C"/>
    <w:rsid w:val="00F44116"/>
    <w:rsid w:val="00F52392"/>
    <w:rsid w:val="00F82E3D"/>
    <w:rsid w:val="00F95F69"/>
    <w:rsid w:val="00F97273"/>
    <w:rsid w:val="00FC1727"/>
    <w:rsid w:val="00FD55EC"/>
    <w:rsid w:val="00FF6B98"/>
    <w:rsid w:val="28E76A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6"/>
    <o:shapelayout v:ext="edit">
      <o:idmap v:ext="edit" data="1"/>
    </o:shapelayout>
  </w:shapeDefaults>
  <w:decimalSymbol w:val="."/>
  <w:listSeparator w:val=","/>
  <w15:docId w15:val="{2CEB36B7-A478-4354-899A-87EFA547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"/>
    <w:uiPriority w:val="1"/>
    <w:rPr>
      <w:kern w:val="0"/>
      <w:sz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F7A561D771482C9B76A384459B59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3A6B21-3094-4544-9725-81C794BE795E}"/>
      </w:docPartPr>
      <w:docPartBody>
        <w:p w:rsidR="00FC0BD9" w:rsidRDefault="002C74A8">
          <w:pPr>
            <w:pStyle w:val="A0F7A561D771482C9B76A384459B5920"/>
          </w:pPr>
          <w:r>
            <w:rPr>
              <w:color w:val="7F7F7F" w:themeColor="background1" w:themeShade="7F"/>
              <w:lang w:val="zh-CN"/>
            </w:rPr>
            <w:t>[</w:t>
          </w:r>
          <w:r>
            <w:rPr>
              <w:color w:val="7F7F7F" w:themeColor="background1" w:themeShade="7F"/>
              <w:lang w:val="zh-CN"/>
            </w:rPr>
            <w:t>键入公司名称</w:t>
          </w:r>
          <w:r>
            <w:rPr>
              <w:color w:val="7F7F7F" w:themeColor="background1" w:themeShade="7F"/>
              <w:lang w:val="zh-CN"/>
            </w:rPr>
            <w:t>]</w:t>
          </w:r>
        </w:p>
      </w:docPartBody>
    </w:docPart>
    <w:docPart>
      <w:docPartPr>
        <w:name w:val="1E11AA381CAA41E7AE1E8A726AB604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0CC2FD-04ED-4E7B-80CC-54DC307B713A}"/>
      </w:docPartPr>
      <w:docPartBody>
        <w:p w:rsidR="00FC0BD9" w:rsidRDefault="002C74A8">
          <w:pPr>
            <w:pStyle w:val="1E11AA381CAA41E7AE1E8A726AB6049E"/>
          </w:pPr>
          <w:r>
            <w:rPr>
              <w:color w:val="7F7F7F" w:themeColor="background1" w:themeShade="7F"/>
              <w:lang w:val="zh-CN"/>
            </w:rPr>
            <w:t>[</w:t>
          </w:r>
          <w:r>
            <w:rPr>
              <w:color w:val="7F7F7F" w:themeColor="background1" w:themeShade="7F"/>
              <w:lang w:val="zh-CN"/>
            </w:rPr>
            <w:t>键入公司地址</w:t>
          </w:r>
          <w:r>
            <w:rPr>
              <w:color w:val="7F7F7F" w:themeColor="background1" w:themeShade="7F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159"/>
    <w:rsid w:val="00063885"/>
    <w:rsid w:val="002012A6"/>
    <w:rsid w:val="0024698F"/>
    <w:rsid w:val="00247749"/>
    <w:rsid w:val="0029287C"/>
    <w:rsid w:val="002C74A8"/>
    <w:rsid w:val="00386A7A"/>
    <w:rsid w:val="00471152"/>
    <w:rsid w:val="00472ACF"/>
    <w:rsid w:val="0064190F"/>
    <w:rsid w:val="00885E28"/>
    <w:rsid w:val="009A6FD7"/>
    <w:rsid w:val="00A15B0E"/>
    <w:rsid w:val="00A2107C"/>
    <w:rsid w:val="00A42FC0"/>
    <w:rsid w:val="00B51E48"/>
    <w:rsid w:val="00CA03AF"/>
    <w:rsid w:val="00D23D08"/>
    <w:rsid w:val="00D60159"/>
    <w:rsid w:val="00E64DA9"/>
    <w:rsid w:val="00FB6F26"/>
    <w:rsid w:val="00FC0B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6F1C1839E44C66B650A56F8643A3DF">
    <w:name w:val="006F1C1839E44C66B650A56F8643A3DF"/>
    <w:pPr>
      <w:widowControl w:val="0"/>
      <w:jc w:val="both"/>
    </w:pPr>
    <w:rPr>
      <w:kern w:val="2"/>
      <w:sz w:val="21"/>
      <w:szCs w:val="22"/>
    </w:rPr>
  </w:style>
  <w:style w:type="paragraph" w:customStyle="1" w:styleId="0D300E8BC8884EBD8A80321A78A0764F">
    <w:name w:val="0D300E8BC8884EBD8A80321A78A0764F"/>
    <w:pPr>
      <w:widowControl w:val="0"/>
      <w:jc w:val="both"/>
    </w:pPr>
    <w:rPr>
      <w:kern w:val="2"/>
      <w:sz w:val="21"/>
      <w:szCs w:val="22"/>
    </w:rPr>
  </w:style>
  <w:style w:type="paragraph" w:customStyle="1" w:styleId="A0F7A561D771482C9B76A384459B5920">
    <w:name w:val="A0F7A561D771482C9B76A384459B5920"/>
    <w:pPr>
      <w:widowControl w:val="0"/>
      <w:jc w:val="both"/>
    </w:pPr>
    <w:rPr>
      <w:kern w:val="2"/>
      <w:sz w:val="21"/>
      <w:szCs w:val="22"/>
    </w:rPr>
  </w:style>
  <w:style w:type="paragraph" w:customStyle="1" w:styleId="1E11AA381CAA41E7AE1E8A726AB6049E">
    <w:name w:val="1E11AA381CAA41E7AE1E8A726AB6049E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高顿财经  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4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1DA7DB1-2CA9-4628-BB16-AEC9E1FF0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776</Words>
  <Characters>4424</Characters>
  <Application>Microsoft Office Word</Application>
  <DocSecurity>0</DocSecurity>
  <Lines>36</Lines>
  <Paragraphs>10</Paragraphs>
  <ScaleCrop>false</ScaleCrop>
  <Company>学服：021-51210513  咨询：400-600-8011  邮箱：cfa@gaodun.cn  网站：cfa.gaodun.cn</Company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</dc:creator>
  <cp:lastModifiedBy>梁文伯</cp:lastModifiedBy>
  <cp:revision>7</cp:revision>
  <cp:lastPrinted>2018-01-22T05:30:00Z</cp:lastPrinted>
  <dcterms:created xsi:type="dcterms:W3CDTF">2015-02-02T09:31:00Z</dcterms:created>
  <dcterms:modified xsi:type="dcterms:W3CDTF">2018-01-22T05:31:00Z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