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D6" w:rsidRDefault="00470A01">
      <w:pPr>
        <w:jc w:val="center"/>
        <w:rPr>
          <w:sz w:val="28"/>
          <w:szCs w:val="28"/>
        </w:rPr>
      </w:pPr>
      <w:r>
        <w:rPr>
          <w:sz w:val="28"/>
          <w:szCs w:val="28"/>
        </w:rPr>
        <w:t>Financial Reporting and Analysis</w:t>
      </w:r>
    </w:p>
    <w:p w:rsidR="006D21D6" w:rsidRDefault="006D21D6">
      <w:pPr>
        <w:autoSpaceDE w:val="0"/>
        <w:autoSpaceDN w:val="0"/>
        <w:adjustRightInd w:val="0"/>
        <w:rPr>
          <w:rFonts w:cs="Calibri"/>
          <w:color w:val="000000"/>
          <w:kern w:val="0"/>
          <w:sz w:val="23"/>
          <w:szCs w:val="23"/>
        </w:rPr>
      </w:pPr>
    </w:p>
    <w:p w:rsidR="006D21D6" w:rsidRDefault="00067E9F">
      <w:pPr>
        <w:pStyle w:val="10"/>
        <w:numPr>
          <w:ilvl w:val="0"/>
          <w:numId w:val="1"/>
        </w:numPr>
        <w:autoSpaceDE w:val="0"/>
        <w:autoSpaceDN w:val="0"/>
        <w:adjustRightInd w:val="0"/>
        <w:ind w:firstLineChars="0"/>
        <w:rPr>
          <w:rFonts w:cs="Calibri"/>
          <w:color w:val="000000"/>
          <w:kern w:val="0"/>
          <w:sz w:val="23"/>
          <w:szCs w:val="23"/>
        </w:rPr>
      </w:pPr>
      <w:r w:rsidRPr="00067E9F">
        <w:rPr>
          <w:rFonts w:cs="Calibri"/>
          <w:color w:val="000000"/>
          <w:kern w:val="0"/>
          <w:sz w:val="23"/>
          <w:szCs w:val="23"/>
        </w:rPr>
        <w:drawing>
          <wp:anchor distT="0" distB="0" distL="114300" distR="114300" simplePos="0" relativeHeight="251633152" behindDoc="0" locked="0" layoutInCell="1" allowOverlap="1" wp14:anchorId="6444BF59" wp14:editId="3C6DAB86">
            <wp:simplePos x="0" y="0"/>
            <wp:positionH relativeFrom="column">
              <wp:posOffset>4935122</wp:posOffset>
            </wp:positionH>
            <wp:positionV relativeFrom="paragraph">
              <wp:posOffset>239297</wp:posOffset>
            </wp:positionV>
            <wp:extent cx="1223010" cy="1163303"/>
            <wp:effectExtent l="0" t="0" r="0" b="0"/>
            <wp:wrapNone/>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641" cy="1168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A01">
        <w:rPr>
          <w:rFonts w:cs="Calibri"/>
          <w:color w:val="000000"/>
          <w:kern w:val="0"/>
          <w:sz w:val="23"/>
          <w:szCs w:val="23"/>
        </w:rPr>
        <w:t>When the financial statements materially depart from accounting standards and are not fairly presented, the audit opinion would be a(n):</w:t>
      </w:r>
    </w:p>
    <w:p w:rsidR="006D21D6" w:rsidRDefault="00470A01">
      <w:pPr>
        <w:autoSpaceDE w:val="0"/>
        <w:autoSpaceDN w:val="0"/>
        <w:adjustRightInd w:val="0"/>
        <w:ind w:firstLineChars="150" w:firstLine="345"/>
        <w:rPr>
          <w:rFonts w:cs="Calibri"/>
          <w:color w:val="000000"/>
          <w:kern w:val="0"/>
          <w:sz w:val="23"/>
          <w:szCs w:val="23"/>
        </w:rPr>
      </w:pPr>
      <w:r>
        <w:rPr>
          <w:rFonts w:cs="Calibri"/>
          <w:color w:val="000000"/>
          <w:kern w:val="0"/>
          <w:sz w:val="23"/>
          <w:szCs w:val="23"/>
        </w:rPr>
        <w:t xml:space="preserve">A. adverse </w:t>
      </w:r>
      <w:r>
        <w:rPr>
          <w:rFonts w:cs="Calibri"/>
          <w:color w:val="000000"/>
          <w:kern w:val="0"/>
          <w:sz w:val="23"/>
          <w:szCs w:val="23"/>
        </w:rPr>
        <w:t>opinion</w:t>
      </w:r>
    </w:p>
    <w:p w:rsidR="006D21D6" w:rsidRDefault="00470A01">
      <w:pPr>
        <w:autoSpaceDE w:val="0"/>
        <w:autoSpaceDN w:val="0"/>
        <w:adjustRightInd w:val="0"/>
        <w:ind w:firstLineChars="150" w:firstLine="345"/>
        <w:rPr>
          <w:rFonts w:cs="Calibri"/>
          <w:color w:val="000000"/>
          <w:kern w:val="0"/>
          <w:sz w:val="23"/>
          <w:szCs w:val="23"/>
        </w:rPr>
      </w:pPr>
      <w:r>
        <w:rPr>
          <w:rFonts w:cs="Calibri"/>
          <w:color w:val="000000"/>
          <w:kern w:val="0"/>
          <w:sz w:val="23"/>
          <w:szCs w:val="23"/>
        </w:rPr>
        <w:t>B. qualified opinion</w:t>
      </w:r>
    </w:p>
    <w:p w:rsidR="006D21D6" w:rsidRDefault="00470A01">
      <w:pPr>
        <w:autoSpaceDE w:val="0"/>
        <w:autoSpaceDN w:val="0"/>
        <w:adjustRightInd w:val="0"/>
        <w:ind w:firstLineChars="150" w:firstLine="345"/>
        <w:rPr>
          <w:rFonts w:cs="Calibri"/>
          <w:color w:val="000000"/>
          <w:kern w:val="0"/>
          <w:sz w:val="23"/>
          <w:szCs w:val="23"/>
        </w:rPr>
      </w:pPr>
      <w:r>
        <w:rPr>
          <w:rFonts w:cs="Calibri"/>
          <w:color w:val="000000"/>
          <w:kern w:val="0"/>
          <w:sz w:val="23"/>
          <w:szCs w:val="23"/>
        </w:rPr>
        <w:t>C. disclaimer of opinion</w:t>
      </w:r>
    </w:p>
    <w:p w:rsidR="006D21D6" w:rsidRDefault="006D21D6">
      <w:pPr>
        <w:autoSpaceDE w:val="0"/>
        <w:autoSpaceDN w:val="0"/>
        <w:adjustRightInd w:val="0"/>
        <w:rPr>
          <w:rFonts w:cs="Calibri"/>
          <w:color w:val="000000"/>
          <w:kern w:val="0"/>
          <w:sz w:val="23"/>
          <w:szCs w:val="23"/>
        </w:rPr>
      </w:pPr>
    </w:p>
    <w:p w:rsidR="006D21D6" w:rsidRDefault="00470A01">
      <w:pPr>
        <w:pStyle w:val="10"/>
        <w:autoSpaceDE w:val="0"/>
        <w:autoSpaceDN w:val="0"/>
        <w:adjustRightInd w:val="0"/>
        <w:ind w:left="360" w:firstLineChars="0" w:firstLine="0"/>
        <w:rPr>
          <w:rFonts w:cs="Calibri"/>
          <w:color w:val="000000"/>
          <w:kern w:val="0"/>
          <w:sz w:val="23"/>
          <w:szCs w:val="23"/>
        </w:rPr>
      </w:pPr>
      <w:r>
        <w:rPr>
          <w:rFonts w:cs="Calibri"/>
          <w:color w:val="000000"/>
          <w:kern w:val="0"/>
          <w:sz w:val="23"/>
          <w:szCs w:val="23"/>
        </w:rPr>
        <w:t>Answer: A</w:t>
      </w:r>
    </w:p>
    <w:p w:rsidR="006D21D6" w:rsidRDefault="00470A01">
      <w:pPr>
        <w:pStyle w:val="10"/>
        <w:autoSpaceDE w:val="0"/>
        <w:autoSpaceDN w:val="0"/>
        <w:adjustRightInd w:val="0"/>
        <w:ind w:left="360" w:firstLineChars="0" w:firstLine="0"/>
        <w:rPr>
          <w:sz w:val="23"/>
          <w:szCs w:val="23"/>
        </w:rPr>
      </w:pPr>
      <w:r>
        <w:rPr>
          <w:sz w:val="23"/>
          <w:szCs w:val="23"/>
        </w:rPr>
        <w:t xml:space="preserve">An adverse opinion occurs when the financial statements materially depart from accounting standards and are not fairly presented. A qualified opinion is one in which there is some limitation </w:t>
      </w:r>
      <w:r>
        <w:rPr>
          <w:sz w:val="23"/>
          <w:szCs w:val="23"/>
        </w:rPr>
        <w:t>or exception to accounting standards.</w:t>
      </w:r>
    </w:p>
    <w:p w:rsidR="006D21D6" w:rsidRDefault="006D21D6">
      <w:pPr>
        <w:autoSpaceDE w:val="0"/>
        <w:autoSpaceDN w:val="0"/>
        <w:adjustRightInd w:val="0"/>
        <w:ind w:leftChars="165" w:left="346"/>
        <w:rPr>
          <w:sz w:val="23"/>
          <w:szCs w:val="23"/>
        </w:rPr>
      </w:pPr>
    </w:p>
    <w:p w:rsidR="006D21D6" w:rsidRDefault="006D21D6">
      <w:pPr>
        <w:autoSpaceDE w:val="0"/>
        <w:autoSpaceDN w:val="0"/>
        <w:adjustRightInd w:val="0"/>
        <w:ind w:leftChars="165" w:left="346"/>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hint="eastAsia"/>
          <w:color w:val="000000"/>
          <w:kern w:val="0"/>
          <w:sz w:val="23"/>
          <w:szCs w:val="23"/>
        </w:rPr>
        <w:t xml:space="preserve">2.  </w:t>
      </w:r>
      <w:r>
        <w:rPr>
          <w:rFonts w:cs="Calibri"/>
          <w:color w:val="000000"/>
          <w:kern w:val="0"/>
          <w:sz w:val="23"/>
          <w:szCs w:val="23"/>
        </w:rPr>
        <w:t xml:space="preserve">Assume U.S. GAAP (generally accepted accounting principles) applies unless otherwise </w:t>
      </w:r>
      <w:proofErr w:type="spellStart"/>
      <w:proofErr w:type="gramStart"/>
      <w:r>
        <w:rPr>
          <w:rFonts w:cs="Calibri"/>
          <w:color w:val="000000"/>
          <w:kern w:val="0"/>
          <w:sz w:val="23"/>
          <w:szCs w:val="23"/>
        </w:rPr>
        <w:t>noted.An</w:t>
      </w:r>
      <w:proofErr w:type="spellEnd"/>
      <w:proofErr w:type="gramEnd"/>
      <w:r>
        <w:rPr>
          <w:rFonts w:cs="Calibri"/>
          <w:color w:val="000000"/>
          <w:kern w:val="0"/>
          <w:sz w:val="23"/>
          <w:szCs w:val="23"/>
        </w:rPr>
        <w:t xml:space="preserve"> analyst gathers the following information from a company’s accounting records (all figures in thousands):</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 xml:space="preserve">Assets, 31 </w:t>
      </w:r>
      <w:r>
        <w:rPr>
          <w:rFonts w:cs="Calibri"/>
          <w:color w:val="000000"/>
          <w:kern w:val="0"/>
          <w:sz w:val="23"/>
          <w:szCs w:val="23"/>
        </w:rPr>
        <w:t>December 2008           $5,250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Liabilities, 31 December 2008                             2,200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Contributed capital, 31 December 2008                     1,400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Retained earnings, 1 January 2008               800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Dividends declared during 2008             20</w:t>
      </w:r>
      <w:r>
        <w:rPr>
          <w:rFonts w:cs="Calibri"/>
          <w:color w:val="000000"/>
          <w:kern w:val="0"/>
          <w:sz w:val="23"/>
          <w:szCs w:val="23"/>
        </w:rPr>
        <w:t>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The analyst’s estimate of net income ($ thousands) for 2008 is closest to:</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A. 650.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B. 850.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C. 1,050.</w:t>
      </w:r>
    </w:p>
    <w:p w:rsidR="006D21D6" w:rsidRDefault="006D21D6">
      <w:pPr>
        <w:autoSpaceDE w:val="0"/>
        <w:autoSpaceDN w:val="0"/>
        <w:adjustRightInd w:val="0"/>
        <w:rPr>
          <w:sz w:val="23"/>
          <w:szCs w:val="23"/>
        </w:rPr>
      </w:pPr>
    </w:p>
    <w:p w:rsidR="006D21D6" w:rsidRDefault="00470A01">
      <w:pPr>
        <w:autoSpaceDE w:val="0"/>
        <w:autoSpaceDN w:val="0"/>
        <w:adjustRightInd w:val="0"/>
        <w:ind w:leftChars="164" w:left="344" w:firstLineChars="35" w:firstLine="80"/>
        <w:rPr>
          <w:rFonts w:cs="Calibri"/>
          <w:color w:val="000000"/>
          <w:kern w:val="0"/>
          <w:sz w:val="23"/>
          <w:szCs w:val="23"/>
        </w:rPr>
      </w:pPr>
      <w:r>
        <w:rPr>
          <w:rFonts w:cs="Calibri"/>
          <w:color w:val="000000"/>
          <w:kern w:val="0"/>
          <w:sz w:val="23"/>
          <w:szCs w:val="23"/>
        </w:rPr>
        <w:t>Answer: C</w:t>
      </w:r>
    </w:p>
    <w:p w:rsidR="006D21D6" w:rsidRDefault="00470A01">
      <w:pPr>
        <w:autoSpaceDE w:val="0"/>
        <w:autoSpaceDN w:val="0"/>
        <w:adjustRightInd w:val="0"/>
        <w:ind w:leftChars="165" w:left="346"/>
        <w:rPr>
          <w:sz w:val="23"/>
          <w:szCs w:val="23"/>
        </w:rPr>
      </w:pPr>
      <w:r>
        <w:rPr>
          <w:sz w:val="23"/>
          <w:szCs w:val="23"/>
        </w:rPr>
        <w:t xml:space="preserve">Total assets = liabilities + owner’s equity. Owner’s equity = $5,250– 2,200= 3,050. </w:t>
      </w:r>
      <w:proofErr w:type="spellStart"/>
      <w:r>
        <w:rPr>
          <w:sz w:val="23"/>
          <w:szCs w:val="23"/>
        </w:rPr>
        <w:t>Owners</w:t>
      </w:r>
      <w:proofErr w:type="spellEnd"/>
      <w:r>
        <w:rPr>
          <w:sz w:val="23"/>
          <w:szCs w:val="23"/>
        </w:rPr>
        <w:t xml:space="preserve"> equity = contributed capital + ending retained earn</w:t>
      </w:r>
      <w:r>
        <w:rPr>
          <w:sz w:val="23"/>
          <w:szCs w:val="23"/>
        </w:rPr>
        <w:t>ings. Ending retained earnings = 3,050– 1,400= 1,650. Ending retained earnings = beginning retained earnings + net income – dividends. 1,650= 800 + net income – 200; Net income = $1,050</w:t>
      </w:r>
    </w:p>
    <w:p w:rsidR="006D21D6" w:rsidRDefault="006D21D6">
      <w:pPr>
        <w:autoSpaceDE w:val="0"/>
        <w:autoSpaceDN w:val="0"/>
        <w:adjustRightInd w:val="0"/>
        <w:ind w:leftChars="165" w:left="346"/>
        <w:rPr>
          <w:sz w:val="23"/>
          <w:szCs w:val="23"/>
        </w:rPr>
      </w:pPr>
    </w:p>
    <w:p w:rsidR="006D21D6" w:rsidRDefault="006D21D6">
      <w:pPr>
        <w:autoSpaceDE w:val="0"/>
        <w:autoSpaceDN w:val="0"/>
        <w:adjustRightInd w:val="0"/>
        <w:ind w:leftChars="165" w:left="346"/>
        <w:rPr>
          <w:sz w:val="23"/>
          <w:szCs w:val="23"/>
        </w:rPr>
      </w:pPr>
    </w:p>
    <w:p w:rsidR="006D21D6" w:rsidRDefault="00470A01">
      <w:pPr>
        <w:pStyle w:val="a9"/>
        <w:kinsoku w:val="0"/>
        <w:overflowPunct w:val="0"/>
        <w:spacing w:before="106" w:beforeAutospacing="0" w:after="106" w:afterAutospacing="0" w:line="288" w:lineRule="auto"/>
        <w:textAlignment w:val="baseline"/>
        <w:rPr>
          <w:rFonts w:asciiTheme="minorHAnsi" w:eastAsiaTheme="minorEastAsia" w:hAnsiTheme="minorHAnsi" w:cs="Calibri"/>
          <w:color w:val="000000"/>
          <w:sz w:val="23"/>
          <w:szCs w:val="23"/>
        </w:rPr>
      </w:pPr>
      <w:r>
        <w:rPr>
          <w:rFonts w:cs="Calibri" w:hint="eastAsia"/>
          <w:color w:val="000000"/>
          <w:sz w:val="23"/>
          <w:szCs w:val="23"/>
        </w:rPr>
        <w:t xml:space="preserve">3.  </w:t>
      </w:r>
      <w:r>
        <w:rPr>
          <w:rFonts w:asciiTheme="minorHAnsi" w:eastAsiaTheme="minorEastAsia" w:hAnsiTheme="minorHAnsi" w:cs="Calibri"/>
          <w:color w:val="000000"/>
          <w:sz w:val="23"/>
          <w:szCs w:val="23"/>
        </w:rPr>
        <w:t>According to the International Accounting Standards Board’s Conc</w:t>
      </w:r>
      <w:r>
        <w:rPr>
          <w:rFonts w:asciiTheme="minorHAnsi" w:eastAsiaTheme="minorEastAsia" w:hAnsiTheme="minorHAnsi" w:cs="Calibri"/>
          <w:color w:val="000000"/>
          <w:sz w:val="23"/>
          <w:szCs w:val="23"/>
        </w:rPr>
        <w:t>eptual Framework for Financial Reporting, the two fundamental qualitative characteristics that make financial information useful are best described as:</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 xml:space="preserve">A. </w:t>
      </w:r>
      <w:r>
        <w:rPr>
          <w:rFonts w:cs="Calibri" w:hint="eastAsia"/>
          <w:color w:val="000000"/>
          <w:kern w:val="0"/>
          <w:sz w:val="23"/>
          <w:szCs w:val="23"/>
        </w:rPr>
        <w:t>T</w:t>
      </w:r>
      <w:r>
        <w:rPr>
          <w:rFonts w:cs="Calibri"/>
          <w:color w:val="000000"/>
          <w:kern w:val="0"/>
          <w:sz w:val="23"/>
          <w:szCs w:val="23"/>
        </w:rPr>
        <w:t>imeliness and accrual accounting.</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 xml:space="preserve">B. </w:t>
      </w:r>
      <w:r>
        <w:rPr>
          <w:rFonts w:cs="Calibri" w:hint="eastAsia"/>
          <w:color w:val="000000"/>
          <w:kern w:val="0"/>
          <w:sz w:val="23"/>
          <w:szCs w:val="23"/>
        </w:rPr>
        <w:t>U</w:t>
      </w:r>
      <w:r>
        <w:rPr>
          <w:rFonts w:cs="Calibri"/>
          <w:color w:val="000000"/>
          <w:kern w:val="0"/>
          <w:sz w:val="23"/>
          <w:szCs w:val="23"/>
        </w:rPr>
        <w:t>nderstandability and verifiability.</w:t>
      </w:r>
    </w:p>
    <w:p w:rsidR="006D21D6" w:rsidRDefault="00067E9F">
      <w:pPr>
        <w:autoSpaceDE w:val="0"/>
        <w:autoSpaceDN w:val="0"/>
        <w:adjustRightInd w:val="0"/>
        <w:ind w:leftChars="165" w:left="346"/>
        <w:rPr>
          <w:rFonts w:cs="Calibri"/>
          <w:color w:val="000000"/>
          <w:kern w:val="0"/>
          <w:sz w:val="23"/>
          <w:szCs w:val="23"/>
        </w:rPr>
      </w:pPr>
      <w:r w:rsidRPr="00067E9F">
        <w:rPr>
          <w:rFonts w:cs="Calibri"/>
          <w:color w:val="000000"/>
          <w:kern w:val="0"/>
          <w:sz w:val="23"/>
          <w:szCs w:val="23"/>
        </w:rPr>
        <w:drawing>
          <wp:anchor distT="0" distB="0" distL="114300" distR="114300" simplePos="0" relativeHeight="251649536" behindDoc="0" locked="0" layoutInCell="1" allowOverlap="1" wp14:anchorId="56BD04E3" wp14:editId="2C714D5C">
            <wp:simplePos x="0" y="0"/>
            <wp:positionH relativeFrom="column">
              <wp:posOffset>5240850</wp:posOffset>
            </wp:positionH>
            <wp:positionV relativeFrom="paragraph">
              <wp:posOffset>26475</wp:posOffset>
            </wp:positionV>
            <wp:extent cx="1150562" cy="1093470"/>
            <wp:effectExtent l="0" t="0" r="0" b="0"/>
            <wp:wrapNone/>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stretch>
                      <a:fillRect/>
                    </a:stretch>
                  </pic:blipFill>
                  <pic:spPr>
                    <a:xfrm>
                      <a:off x="0" y="0"/>
                      <a:ext cx="1150562" cy="1093470"/>
                    </a:xfrm>
                    <a:prstGeom prst="rect">
                      <a:avLst/>
                    </a:prstGeom>
                  </pic:spPr>
                </pic:pic>
              </a:graphicData>
            </a:graphic>
            <wp14:sizeRelH relativeFrom="margin">
              <wp14:pctWidth>0</wp14:pctWidth>
            </wp14:sizeRelH>
            <wp14:sizeRelV relativeFrom="margin">
              <wp14:pctHeight>0</wp14:pctHeight>
            </wp14:sizeRelV>
          </wp:anchor>
        </w:drawing>
      </w:r>
      <w:r w:rsidR="00470A01">
        <w:rPr>
          <w:rFonts w:cs="Calibri"/>
          <w:color w:val="000000"/>
          <w:kern w:val="0"/>
          <w:sz w:val="23"/>
          <w:szCs w:val="23"/>
        </w:rPr>
        <w:t xml:space="preserve">C. </w:t>
      </w:r>
      <w:r w:rsidR="00470A01">
        <w:rPr>
          <w:rFonts w:cs="Calibri" w:hint="eastAsia"/>
          <w:color w:val="000000"/>
          <w:kern w:val="0"/>
          <w:sz w:val="23"/>
          <w:szCs w:val="23"/>
        </w:rPr>
        <w:t>R</w:t>
      </w:r>
      <w:r w:rsidR="00470A01">
        <w:rPr>
          <w:rFonts w:cs="Calibri"/>
          <w:color w:val="000000"/>
          <w:kern w:val="0"/>
          <w:sz w:val="23"/>
          <w:szCs w:val="23"/>
        </w:rPr>
        <w:t xml:space="preserve">elevance and faithful </w:t>
      </w:r>
      <w:r w:rsidR="00470A01">
        <w:rPr>
          <w:rFonts w:cs="Calibri"/>
          <w:color w:val="000000"/>
          <w:kern w:val="0"/>
          <w:sz w:val="23"/>
          <w:szCs w:val="23"/>
        </w:rPr>
        <w:t>representation.</w:t>
      </w:r>
    </w:p>
    <w:p w:rsidR="006D21D6" w:rsidRDefault="006D21D6">
      <w:pPr>
        <w:autoSpaceDE w:val="0"/>
        <w:autoSpaceDN w:val="0"/>
        <w:adjustRightInd w:val="0"/>
        <w:rPr>
          <w:sz w:val="22"/>
        </w:rPr>
      </w:pPr>
    </w:p>
    <w:p w:rsidR="006D21D6" w:rsidRDefault="00470A01">
      <w:pPr>
        <w:autoSpaceDE w:val="0"/>
        <w:autoSpaceDN w:val="0"/>
        <w:adjustRightInd w:val="0"/>
        <w:rPr>
          <w:rFonts w:cs="Calibri"/>
          <w:color w:val="000000"/>
          <w:kern w:val="0"/>
          <w:sz w:val="23"/>
          <w:szCs w:val="23"/>
        </w:rPr>
      </w:pPr>
      <w:r>
        <w:rPr>
          <w:rFonts w:cs="Calibri"/>
          <w:color w:val="000000"/>
          <w:kern w:val="0"/>
          <w:sz w:val="23"/>
          <w:szCs w:val="23"/>
        </w:rPr>
        <w:t>Answer: C</w:t>
      </w:r>
    </w:p>
    <w:p w:rsidR="006D21D6" w:rsidRDefault="00470A01">
      <w:pPr>
        <w:pStyle w:val="a9"/>
        <w:kinsoku w:val="0"/>
        <w:overflowPunct w:val="0"/>
        <w:spacing w:before="106" w:beforeAutospacing="0" w:after="106" w:afterAutospacing="0" w:line="288" w:lineRule="auto"/>
        <w:ind w:firstLineChars="150" w:firstLine="330"/>
        <w:jc w:val="both"/>
        <w:textAlignment w:val="baseline"/>
        <w:rPr>
          <w:rFonts w:asciiTheme="minorHAnsi" w:eastAsiaTheme="minorEastAsia" w:hAnsiTheme="minorHAnsi" w:cstheme="minorBidi"/>
          <w:kern w:val="2"/>
          <w:sz w:val="22"/>
          <w:szCs w:val="22"/>
        </w:rPr>
      </w:pPr>
      <w:r>
        <w:rPr>
          <w:rFonts w:asciiTheme="minorHAnsi" w:eastAsiaTheme="minorEastAsia" w:hAnsiTheme="minorHAnsi" w:cstheme="minorBidi"/>
          <w:kern w:val="2"/>
          <w:sz w:val="22"/>
          <w:szCs w:val="22"/>
        </w:rPr>
        <w:lastRenderedPageBreak/>
        <w:t>Relevance and faithful representation are the two fundamental characteristics according to IFRS.</w:t>
      </w:r>
    </w:p>
    <w:p w:rsidR="006D21D6" w:rsidRDefault="006D21D6">
      <w:pPr>
        <w:autoSpaceDE w:val="0"/>
        <w:autoSpaceDN w:val="0"/>
        <w:adjustRightInd w:val="0"/>
        <w:ind w:leftChars="165" w:left="346"/>
        <w:rPr>
          <w:sz w:val="22"/>
        </w:rPr>
      </w:pPr>
    </w:p>
    <w:p w:rsidR="006D21D6" w:rsidRDefault="00067E9F">
      <w:pPr>
        <w:autoSpaceDE w:val="0"/>
        <w:autoSpaceDN w:val="0"/>
        <w:adjustRightInd w:val="0"/>
        <w:ind w:left="345" w:hangingChars="150" w:hanging="345"/>
        <w:rPr>
          <w:rFonts w:cs="Calibri"/>
          <w:color w:val="000000"/>
          <w:kern w:val="0"/>
          <w:sz w:val="23"/>
          <w:szCs w:val="23"/>
        </w:rPr>
      </w:pPr>
      <w:r w:rsidRPr="00067E9F">
        <w:rPr>
          <w:rFonts w:cs="Calibri"/>
          <w:color w:val="000000"/>
          <w:kern w:val="0"/>
          <w:sz w:val="23"/>
          <w:szCs w:val="23"/>
        </w:rPr>
        <w:drawing>
          <wp:anchor distT="0" distB="0" distL="114300" distR="114300" simplePos="0" relativeHeight="251652608" behindDoc="0" locked="0" layoutInCell="1" allowOverlap="1" wp14:anchorId="6444BF59" wp14:editId="3C6DAB86">
            <wp:simplePos x="0" y="0"/>
            <wp:positionH relativeFrom="column">
              <wp:posOffset>4816677</wp:posOffset>
            </wp:positionH>
            <wp:positionV relativeFrom="paragraph">
              <wp:posOffset>427990</wp:posOffset>
            </wp:positionV>
            <wp:extent cx="1209089" cy="1163467"/>
            <wp:effectExtent l="0" t="0" r="0" b="0"/>
            <wp:wrapNone/>
            <wp:docPr id="4" name="图片 4"/>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089" cy="11634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A01">
        <w:rPr>
          <w:rFonts w:cs="Calibri" w:hint="eastAsia"/>
          <w:color w:val="000000"/>
          <w:kern w:val="0"/>
          <w:sz w:val="23"/>
          <w:szCs w:val="23"/>
        </w:rPr>
        <w:t xml:space="preserve">4. </w:t>
      </w:r>
      <w:r w:rsidR="00470A01">
        <w:rPr>
          <w:rFonts w:cs="Calibri"/>
          <w:color w:val="000000"/>
          <w:kern w:val="0"/>
          <w:sz w:val="23"/>
          <w:szCs w:val="23"/>
        </w:rPr>
        <w:t>A company, with a tax rate of 40%, sold a capital asset with a net book value of $500,000 for $570,000 during the year. Which of</w:t>
      </w:r>
      <w:r w:rsidR="00470A01">
        <w:rPr>
          <w:rFonts w:cs="Calibri"/>
          <w:color w:val="000000"/>
          <w:kern w:val="0"/>
          <w:sz w:val="23"/>
          <w:szCs w:val="23"/>
        </w:rPr>
        <w:t xml:space="preserve"> the following amounts (in $) will most likely be reported on its income statement for the year related to the asset sale?</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A. 42,000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B. 70,000</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C. 570,000</w:t>
      </w:r>
    </w:p>
    <w:p w:rsidR="006D21D6" w:rsidRDefault="006D21D6">
      <w:pPr>
        <w:autoSpaceDE w:val="0"/>
        <w:autoSpaceDN w:val="0"/>
        <w:adjustRightInd w:val="0"/>
        <w:ind w:leftChars="165" w:left="346"/>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color w:val="000000"/>
          <w:kern w:val="0"/>
          <w:sz w:val="23"/>
          <w:szCs w:val="23"/>
        </w:rPr>
        <w:t>Answer: B</w:t>
      </w:r>
    </w:p>
    <w:p w:rsidR="006D21D6" w:rsidRDefault="00470A01">
      <w:pPr>
        <w:autoSpaceDE w:val="0"/>
        <w:autoSpaceDN w:val="0"/>
        <w:adjustRightInd w:val="0"/>
        <w:ind w:leftChars="165" w:left="346"/>
        <w:rPr>
          <w:sz w:val="23"/>
          <w:szCs w:val="23"/>
        </w:rPr>
      </w:pPr>
      <w:r>
        <w:rPr>
          <w:sz w:val="23"/>
          <w:szCs w:val="23"/>
        </w:rPr>
        <w:t>The disposition of a capital asset is reported as a net gain or loss ($570,000 – $500,000 =</w:t>
      </w:r>
      <w:r>
        <w:rPr>
          <w:sz w:val="23"/>
          <w:szCs w:val="23"/>
        </w:rPr>
        <w:t xml:space="preserve"> $70,000) on the income statement before tax affects.</w:t>
      </w:r>
    </w:p>
    <w:p w:rsidR="006D21D6" w:rsidRDefault="006D21D6">
      <w:pPr>
        <w:autoSpaceDE w:val="0"/>
        <w:autoSpaceDN w:val="0"/>
        <w:adjustRightInd w:val="0"/>
        <w:rPr>
          <w:rFonts w:cs="Calibri"/>
          <w:color w:val="000000"/>
          <w:kern w:val="0"/>
          <w:sz w:val="23"/>
          <w:szCs w:val="23"/>
        </w:rPr>
      </w:pPr>
    </w:p>
    <w:p w:rsidR="006D21D6" w:rsidRDefault="006D21D6">
      <w:pPr>
        <w:autoSpaceDE w:val="0"/>
        <w:autoSpaceDN w:val="0"/>
        <w:adjustRightInd w:val="0"/>
        <w:rPr>
          <w:rFonts w:cs="Calibri"/>
          <w:color w:val="000000"/>
          <w:kern w:val="0"/>
          <w:sz w:val="23"/>
          <w:szCs w:val="23"/>
        </w:rPr>
      </w:pPr>
    </w:p>
    <w:p w:rsidR="006D21D6" w:rsidRDefault="00470A01">
      <w:pPr>
        <w:pStyle w:val="a9"/>
        <w:kinsoku w:val="0"/>
        <w:overflowPunct w:val="0"/>
        <w:spacing w:before="0" w:beforeAutospacing="0" w:after="0" w:afterAutospacing="0"/>
        <w:ind w:left="460" w:hangingChars="200" w:hanging="460"/>
        <w:jc w:val="both"/>
        <w:textAlignment w:val="baseline"/>
        <w:rPr>
          <w:rFonts w:asciiTheme="minorHAnsi" w:eastAsiaTheme="minorEastAsia" w:hAnsiTheme="minorHAnsi" w:cs="Calibri"/>
          <w:color w:val="000000"/>
          <w:sz w:val="23"/>
          <w:szCs w:val="23"/>
        </w:rPr>
      </w:pPr>
      <w:r>
        <w:rPr>
          <w:rFonts w:cs="Calibri" w:hint="eastAsia"/>
          <w:color w:val="000000"/>
          <w:sz w:val="23"/>
          <w:szCs w:val="23"/>
        </w:rPr>
        <w:t xml:space="preserve">5. </w:t>
      </w:r>
      <w:r>
        <w:rPr>
          <w:rFonts w:asciiTheme="minorHAnsi" w:eastAsiaTheme="minorEastAsia" w:hAnsiTheme="minorHAnsi" w:cs="Calibri"/>
          <w:color w:val="000000"/>
          <w:sz w:val="23"/>
          <w:szCs w:val="23"/>
        </w:rPr>
        <w:t>A company suffered a substantial loss when its production facility was destroyed in an earthquake against which it was not insured. Geological scientists were surprised by the earthquake because th</w:t>
      </w:r>
      <w:r>
        <w:rPr>
          <w:rFonts w:asciiTheme="minorHAnsi" w:eastAsiaTheme="minorEastAsia" w:hAnsiTheme="minorHAnsi" w:cs="Calibri"/>
          <w:color w:val="000000"/>
          <w:sz w:val="23"/>
          <w:szCs w:val="23"/>
        </w:rPr>
        <w:t>ere was no evidence that one had ever occurred in that area in the past. Which of the following statements is most accurate? The company should report the loss on its income statement:</w:t>
      </w:r>
    </w:p>
    <w:p w:rsidR="006D21D6" w:rsidRDefault="00470A01">
      <w:pPr>
        <w:autoSpaceDE w:val="0"/>
        <w:autoSpaceDN w:val="0"/>
        <w:adjustRightInd w:val="0"/>
        <w:ind w:leftChars="165" w:left="346" w:firstLineChars="50" w:firstLine="115"/>
        <w:rPr>
          <w:rFonts w:cs="Calibri"/>
          <w:color w:val="000000"/>
          <w:kern w:val="0"/>
          <w:sz w:val="23"/>
          <w:szCs w:val="23"/>
        </w:rPr>
      </w:pPr>
      <w:r>
        <w:rPr>
          <w:rFonts w:cs="Calibri"/>
          <w:color w:val="000000"/>
          <w:kern w:val="0"/>
          <w:sz w:val="23"/>
          <w:szCs w:val="23"/>
        </w:rPr>
        <w:t xml:space="preserve">A. </w:t>
      </w:r>
      <w:r>
        <w:rPr>
          <w:rFonts w:cs="Calibri" w:hint="eastAsia"/>
          <w:color w:val="000000"/>
          <w:kern w:val="0"/>
          <w:sz w:val="23"/>
          <w:szCs w:val="23"/>
        </w:rPr>
        <w:t>A</w:t>
      </w:r>
      <w:r>
        <w:rPr>
          <w:rFonts w:cs="Calibri"/>
          <w:color w:val="000000"/>
          <w:kern w:val="0"/>
          <w:sz w:val="23"/>
          <w:szCs w:val="23"/>
        </w:rPr>
        <w:t>s an unusual item if it reports under US GAAP.</w:t>
      </w:r>
    </w:p>
    <w:p w:rsidR="006D21D6" w:rsidRDefault="00470A01">
      <w:pPr>
        <w:autoSpaceDE w:val="0"/>
        <w:autoSpaceDN w:val="0"/>
        <w:adjustRightInd w:val="0"/>
        <w:ind w:leftChars="165" w:left="346" w:firstLineChars="50" w:firstLine="115"/>
        <w:rPr>
          <w:rFonts w:cs="Calibri"/>
          <w:color w:val="000000"/>
          <w:kern w:val="0"/>
          <w:sz w:val="23"/>
          <w:szCs w:val="23"/>
        </w:rPr>
      </w:pPr>
      <w:r>
        <w:rPr>
          <w:rFonts w:cs="Calibri"/>
          <w:color w:val="000000"/>
          <w:kern w:val="0"/>
          <w:sz w:val="23"/>
          <w:szCs w:val="23"/>
        </w:rPr>
        <w:t xml:space="preserve">B. </w:t>
      </w:r>
      <w:r>
        <w:rPr>
          <w:rFonts w:cs="Calibri" w:hint="eastAsia"/>
          <w:color w:val="000000"/>
          <w:kern w:val="0"/>
          <w:sz w:val="23"/>
          <w:szCs w:val="23"/>
        </w:rPr>
        <w:t>N</w:t>
      </w:r>
      <w:r>
        <w:rPr>
          <w:rFonts w:cs="Calibri"/>
          <w:color w:val="000000"/>
          <w:kern w:val="0"/>
          <w:sz w:val="23"/>
          <w:szCs w:val="23"/>
        </w:rPr>
        <w:t>et of taxes if i</w:t>
      </w:r>
      <w:r>
        <w:rPr>
          <w:rFonts w:cs="Calibri"/>
          <w:color w:val="000000"/>
          <w:kern w:val="0"/>
          <w:sz w:val="23"/>
          <w:szCs w:val="23"/>
        </w:rPr>
        <w:t>t reports under US GAAP.</w:t>
      </w:r>
    </w:p>
    <w:p w:rsidR="006D21D6" w:rsidRDefault="00470A01">
      <w:pPr>
        <w:autoSpaceDE w:val="0"/>
        <w:autoSpaceDN w:val="0"/>
        <w:adjustRightInd w:val="0"/>
        <w:ind w:leftChars="165" w:left="346" w:firstLineChars="50" w:firstLine="115"/>
        <w:rPr>
          <w:rFonts w:cs="Calibri"/>
          <w:color w:val="000000"/>
          <w:kern w:val="0"/>
          <w:sz w:val="23"/>
          <w:szCs w:val="23"/>
        </w:rPr>
      </w:pPr>
      <w:r>
        <w:rPr>
          <w:rFonts w:cs="Calibri"/>
          <w:color w:val="000000"/>
          <w:kern w:val="0"/>
          <w:sz w:val="23"/>
          <w:szCs w:val="23"/>
        </w:rPr>
        <w:t xml:space="preserve">C. </w:t>
      </w:r>
      <w:r>
        <w:rPr>
          <w:rFonts w:cs="Calibri" w:hint="eastAsia"/>
          <w:color w:val="000000"/>
          <w:kern w:val="0"/>
          <w:sz w:val="23"/>
          <w:szCs w:val="23"/>
        </w:rPr>
        <w:t>A</w:t>
      </w:r>
      <w:r>
        <w:rPr>
          <w:rFonts w:cs="Calibri"/>
          <w:color w:val="000000"/>
          <w:kern w:val="0"/>
          <w:sz w:val="23"/>
          <w:szCs w:val="23"/>
        </w:rPr>
        <w:t>s an extraordinary item net of taxes if it reports under IFRS.</w:t>
      </w:r>
    </w:p>
    <w:p w:rsidR="006D21D6" w:rsidRDefault="006D21D6">
      <w:pPr>
        <w:autoSpaceDE w:val="0"/>
        <w:autoSpaceDN w:val="0"/>
        <w:adjustRightInd w:val="0"/>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color w:val="000000"/>
          <w:kern w:val="0"/>
          <w:sz w:val="23"/>
          <w:szCs w:val="23"/>
        </w:rPr>
        <w:t>Answer = B</w:t>
      </w:r>
    </w:p>
    <w:p w:rsidR="006D21D6" w:rsidRDefault="00470A01">
      <w:pPr>
        <w:autoSpaceDE w:val="0"/>
        <w:autoSpaceDN w:val="0"/>
        <w:adjustRightInd w:val="0"/>
        <w:ind w:leftChars="165" w:left="346"/>
        <w:rPr>
          <w:sz w:val="23"/>
          <w:szCs w:val="23"/>
        </w:rPr>
      </w:pPr>
      <w:r>
        <w:rPr>
          <w:rFonts w:hint="eastAsia"/>
          <w:sz w:val="23"/>
          <w:szCs w:val="23"/>
        </w:rPr>
        <w:t>Suffered a substantial loss in a nature disaster is a case of extraordinary item which is net of taxes if reports under U.S. GAAP.</w:t>
      </w:r>
    </w:p>
    <w:p w:rsidR="006D21D6" w:rsidRDefault="006D21D6">
      <w:pPr>
        <w:autoSpaceDE w:val="0"/>
        <w:autoSpaceDN w:val="0"/>
        <w:adjustRightInd w:val="0"/>
        <w:rPr>
          <w:sz w:val="23"/>
          <w:szCs w:val="23"/>
        </w:rPr>
      </w:pPr>
    </w:p>
    <w:p w:rsidR="006D21D6" w:rsidRDefault="006D21D6">
      <w:pPr>
        <w:autoSpaceDE w:val="0"/>
        <w:autoSpaceDN w:val="0"/>
        <w:adjustRightInd w:val="0"/>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hint="eastAsia"/>
          <w:color w:val="000000"/>
          <w:kern w:val="0"/>
          <w:sz w:val="23"/>
          <w:szCs w:val="23"/>
        </w:rPr>
        <w:t xml:space="preserve">6. </w:t>
      </w:r>
      <w:r>
        <w:rPr>
          <w:rFonts w:cs="Calibri"/>
          <w:color w:val="000000"/>
          <w:kern w:val="0"/>
          <w:sz w:val="23"/>
          <w:szCs w:val="23"/>
        </w:rPr>
        <w:t xml:space="preserve">Assume U.S. GAAP (generally accepted accounting principles) applies unless otherwise </w:t>
      </w:r>
      <w:proofErr w:type="spellStart"/>
      <w:proofErr w:type="gramStart"/>
      <w:r>
        <w:rPr>
          <w:rFonts w:cs="Calibri"/>
          <w:color w:val="000000"/>
          <w:kern w:val="0"/>
          <w:sz w:val="23"/>
          <w:szCs w:val="23"/>
        </w:rPr>
        <w:t>noted.For</w:t>
      </w:r>
      <w:proofErr w:type="spellEnd"/>
      <w:proofErr w:type="gramEnd"/>
      <w:r>
        <w:rPr>
          <w:rFonts w:cs="Calibri"/>
          <w:color w:val="000000"/>
          <w:kern w:val="0"/>
          <w:sz w:val="23"/>
          <w:szCs w:val="23"/>
        </w:rPr>
        <w:t xml:space="preserve"> the most recent year a manufacturing company reports the following items on their income statement: </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 xml:space="preserve">Interest expense $62,500 </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Loss on disposal of fixed assets $</w:t>
      </w:r>
      <w:r>
        <w:rPr>
          <w:rFonts w:cs="Calibri"/>
          <w:color w:val="000000"/>
          <w:kern w:val="0"/>
          <w:sz w:val="23"/>
          <w:szCs w:val="23"/>
        </w:rPr>
        <w:t xml:space="preserve">50,000 </w:t>
      </w:r>
    </w:p>
    <w:p w:rsidR="006D21D6" w:rsidRDefault="00067E9F">
      <w:pPr>
        <w:autoSpaceDE w:val="0"/>
        <w:autoSpaceDN w:val="0"/>
        <w:adjustRightInd w:val="0"/>
        <w:ind w:leftChars="165" w:left="346"/>
        <w:rPr>
          <w:rFonts w:cs="Calibri"/>
          <w:color w:val="000000"/>
          <w:kern w:val="0"/>
          <w:sz w:val="23"/>
          <w:szCs w:val="23"/>
        </w:rPr>
      </w:pPr>
      <w:r w:rsidRPr="00067E9F">
        <w:rPr>
          <w:rFonts w:cs="Calibri"/>
          <w:color w:val="000000"/>
          <w:kern w:val="0"/>
          <w:sz w:val="23"/>
          <w:szCs w:val="23"/>
        </w:rPr>
        <w:drawing>
          <wp:anchor distT="0" distB="0" distL="114300" distR="114300" simplePos="0" relativeHeight="251622912" behindDoc="1" locked="0" layoutInCell="1" allowOverlap="1" wp14:anchorId="56BD04E3" wp14:editId="2C714D5C">
            <wp:simplePos x="0" y="0"/>
            <wp:positionH relativeFrom="column">
              <wp:posOffset>5527870</wp:posOffset>
            </wp:positionH>
            <wp:positionV relativeFrom="paragraph">
              <wp:posOffset>22909</wp:posOffset>
            </wp:positionV>
            <wp:extent cx="1217295" cy="1160145"/>
            <wp:effectExtent l="0" t="0" r="1905" b="1905"/>
            <wp:wrapNone/>
            <wp:docPr id="5" name="图片 5"/>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stretch>
                      <a:fillRect/>
                    </a:stretch>
                  </pic:blipFill>
                  <pic:spPr>
                    <a:xfrm>
                      <a:off x="0" y="0"/>
                      <a:ext cx="1217295" cy="1160145"/>
                    </a:xfrm>
                    <a:prstGeom prst="rect">
                      <a:avLst/>
                    </a:prstGeom>
                  </pic:spPr>
                </pic:pic>
              </a:graphicData>
            </a:graphic>
          </wp:anchor>
        </w:drawing>
      </w:r>
      <w:r w:rsidR="00470A01">
        <w:rPr>
          <w:rFonts w:cs="Calibri"/>
          <w:color w:val="000000"/>
          <w:kern w:val="0"/>
          <w:sz w:val="23"/>
          <w:szCs w:val="23"/>
        </w:rPr>
        <w:t xml:space="preserve">Realized gain on sale of available-for-sale securities $17,750 </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Which of the items is classified as an operating item in the company’s income statement?</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A. Interest expense.</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B. Loss on disposal of fixed assets.</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C. Realized gain on sale of available</w:t>
      </w:r>
      <w:r>
        <w:rPr>
          <w:rFonts w:cs="Calibri"/>
          <w:color w:val="000000"/>
          <w:kern w:val="0"/>
          <w:sz w:val="23"/>
          <w:szCs w:val="23"/>
        </w:rPr>
        <w:t>-for-sale securities.</w:t>
      </w:r>
    </w:p>
    <w:p w:rsidR="006D21D6" w:rsidRDefault="006D21D6">
      <w:pPr>
        <w:autoSpaceDE w:val="0"/>
        <w:autoSpaceDN w:val="0"/>
        <w:adjustRightInd w:val="0"/>
        <w:ind w:leftChars="165" w:left="346"/>
        <w:rPr>
          <w:rFonts w:cs="Calibri"/>
          <w:color w:val="000000"/>
          <w:kern w:val="0"/>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color w:val="000000"/>
          <w:kern w:val="0"/>
          <w:sz w:val="23"/>
          <w:szCs w:val="23"/>
        </w:rPr>
        <w:t>Answer: B</w:t>
      </w:r>
    </w:p>
    <w:p w:rsidR="006D21D6" w:rsidRDefault="00470A01">
      <w:pPr>
        <w:autoSpaceDE w:val="0"/>
        <w:autoSpaceDN w:val="0"/>
        <w:adjustRightInd w:val="0"/>
        <w:ind w:leftChars="165" w:left="346"/>
        <w:rPr>
          <w:sz w:val="23"/>
          <w:szCs w:val="23"/>
        </w:rPr>
      </w:pPr>
      <w:r>
        <w:rPr>
          <w:sz w:val="23"/>
          <w:szCs w:val="23"/>
        </w:rPr>
        <w:t xml:space="preserve">The loss on the disposal of fixed assets is an unusual or infrequent item but it is still part of normal operating activities. The interest expense is the result of financing activities and would be </w:t>
      </w:r>
      <w:r>
        <w:rPr>
          <w:sz w:val="23"/>
          <w:szCs w:val="23"/>
        </w:rPr>
        <w:t>classified as a non</w:t>
      </w:r>
      <w:r>
        <w:rPr>
          <w:rFonts w:hint="eastAsia"/>
          <w:sz w:val="23"/>
          <w:szCs w:val="23"/>
        </w:rPr>
        <w:t>-</w:t>
      </w:r>
      <w:r>
        <w:rPr>
          <w:sz w:val="23"/>
          <w:szCs w:val="23"/>
        </w:rPr>
        <w:t>oper</w:t>
      </w:r>
      <w:r>
        <w:rPr>
          <w:sz w:val="23"/>
          <w:szCs w:val="23"/>
        </w:rPr>
        <w:t xml:space="preserve">ating expense by nonfinancial service companies. The realized gain on sale of available for sale securities is an investing activity and would also be classified as a </w:t>
      </w:r>
      <w:r>
        <w:rPr>
          <w:sz w:val="23"/>
          <w:szCs w:val="23"/>
        </w:rPr>
        <w:lastRenderedPageBreak/>
        <w:t>non</w:t>
      </w:r>
      <w:r>
        <w:rPr>
          <w:rFonts w:hint="eastAsia"/>
          <w:sz w:val="23"/>
          <w:szCs w:val="23"/>
        </w:rPr>
        <w:t>-</w:t>
      </w:r>
      <w:r>
        <w:rPr>
          <w:sz w:val="23"/>
          <w:szCs w:val="23"/>
        </w:rPr>
        <w:t>operating gain by a manufacturing company.</w:t>
      </w:r>
    </w:p>
    <w:p w:rsidR="006D21D6" w:rsidRDefault="006D21D6">
      <w:pPr>
        <w:autoSpaceDE w:val="0"/>
        <w:autoSpaceDN w:val="0"/>
        <w:adjustRightInd w:val="0"/>
        <w:ind w:leftChars="165" w:left="346"/>
        <w:rPr>
          <w:rFonts w:cs="Calibri"/>
          <w:color w:val="000000"/>
          <w:kern w:val="0"/>
          <w:sz w:val="23"/>
          <w:szCs w:val="23"/>
        </w:rPr>
      </w:pPr>
    </w:p>
    <w:p w:rsidR="006D21D6" w:rsidRDefault="006D21D6">
      <w:pPr>
        <w:autoSpaceDE w:val="0"/>
        <w:autoSpaceDN w:val="0"/>
        <w:adjustRightInd w:val="0"/>
        <w:ind w:leftChars="165" w:left="346"/>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hint="eastAsia"/>
          <w:color w:val="000000"/>
          <w:kern w:val="0"/>
          <w:sz w:val="23"/>
          <w:szCs w:val="23"/>
        </w:rPr>
        <w:t xml:space="preserve">7. </w:t>
      </w:r>
      <w:r>
        <w:rPr>
          <w:rFonts w:cs="Calibri"/>
          <w:color w:val="000000"/>
          <w:kern w:val="0"/>
          <w:sz w:val="23"/>
          <w:szCs w:val="23"/>
        </w:rPr>
        <w:t xml:space="preserve">Assume U.S. GAAP (generally accepted </w:t>
      </w:r>
      <w:r>
        <w:rPr>
          <w:rFonts w:cs="Calibri"/>
          <w:color w:val="000000"/>
          <w:kern w:val="0"/>
          <w:sz w:val="23"/>
          <w:szCs w:val="23"/>
        </w:rPr>
        <w:t xml:space="preserve">accounting principles) applies unless otherwise </w:t>
      </w:r>
      <w:proofErr w:type="spellStart"/>
      <w:proofErr w:type="gramStart"/>
      <w:r>
        <w:rPr>
          <w:rFonts w:cs="Calibri"/>
          <w:color w:val="000000"/>
          <w:kern w:val="0"/>
          <w:sz w:val="23"/>
          <w:szCs w:val="23"/>
        </w:rPr>
        <w:t>noted.An</w:t>
      </w:r>
      <w:proofErr w:type="spellEnd"/>
      <w:proofErr w:type="gramEnd"/>
      <w:r>
        <w:rPr>
          <w:rFonts w:cs="Calibri"/>
          <w:color w:val="000000"/>
          <w:kern w:val="0"/>
          <w:sz w:val="23"/>
          <w:szCs w:val="23"/>
        </w:rPr>
        <w:t xml:space="preserve"> analyst gathers the following information about a company:</w:t>
      </w:r>
    </w:p>
    <w:p w:rsidR="006D21D6" w:rsidRDefault="00470A01">
      <w:pPr>
        <w:autoSpaceDE w:val="0"/>
        <w:autoSpaceDN w:val="0"/>
        <w:adjustRightInd w:val="0"/>
        <w:ind w:leftChars="165" w:left="346"/>
        <w:jc w:val="left"/>
        <w:rPr>
          <w:rFonts w:cs="Calibri"/>
          <w:color w:val="000000"/>
          <w:kern w:val="0"/>
          <w:sz w:val="23"/>
          <w:szCs w:val="23"/>
        </w:rPr>
      </w:pPr>
      <w:r>
        <w:rPr>
          <w:rFonts w:cs="Calibri"/>
          <w:color w:val="000000"/>
          <w:kern w:val="0"/>
          <w:sz w:val="23"/>
          <w:szCs w:val="23"/>
        </w:rPr>
        <w:t>Shares of common stock outstanding                  1,000,000</w:t>
      </w:r>
    </w:p>
    <w:p w:rsidR="006D21D6" w:rsidRDefault="00470A01">
      <w:pPr>
        <w:autoSpaceDE w:val="0"/>
        <w:autoSpaceDN w:val="0"/>
        <w:adjustRightInd w:val="0"/>
        <w:ind w:leftChars="165" w:left="346"/>
        <w:jc w:val="left"/>
        <w:rPr>
          <w:rFonts w:cs="Calibri"/>
          <w:color w:val="000000"/>
          <w:kern w:val="0"/>
          <w:sz w:val="23"/>
          <w:szCs w:val="23"/>
        </w:rPr>
      </w:pPr>
      <w:r>
        <w:rPr>
          <w:rFonts w:cs="Calibri"/>
          <w:color w:val="000000"/>
          <w:kern w:val="0"/>
          <w:sz w:val="23"/>
          <w:szCs w:val="23"/>
        </w:rPr>
        <w:t>Net income for the year        $1,500,000</w:t>
      </w:r>
    </w:p>
    <w:p w:rsidR="006D21D6" w:rsidRDefault="00470A01">
      <w:pPr>
        <w:autoSpaceDE w:val="0"/>
        <w:autoSpaceDN w:val="0"/>
        <w:adjustRightInd w:val="0"/>
        <w:ind w:leftChars="165" w:left="346"/>
        <w:jc w:val="left"/>
        <w:rPr>
          <w:rFonts w:cs="Calibri"/>
          <w:color w:val="000000"/>
          <w:kern w:val="0"/>
          <w:sz w:val="23"/>
          <w:szCs w:val="23"/>
        </w:rPr>
      </w:pPr>
      <w:r>
        <w:rPr>
          <w:rFonts w:cs="Calibri"/>
          <w:color w:val="000000"/>
          <w:kern w:val="0"/>
          <w:sz w:val="23"/>
          <w:szCs w:val="23"/>
        </w:rPr>
        <w:t xml:space="preserve">Par value of convertible bonds with </w:t>
      </w:r>
      <w:r>
        <w:rPr>
          <w:rFonts w:cs="Calibri"/>
          <w:color w:val="000000"/>
          <w:kern w:val="0"/>
          <w:sz w:val="23"/>
          <w:szCs w:val="23"/>
        </w:rPr>
        <w:t>a 4 percent coupon rate      $10,000,000</w:t>
      </w:r>
    </w:p>
    <w:p w:rsidR="006D21D6" w:rsidRDefault="00470A01">
      <w:pPr>
        <w:autoSpaceDE w:val="0"/>
        <w:autoSpaceDN w:val="0"/>
        <w:adjustRightInd w:val="0"/>
        <w:ind w:leftChars="165" w:left="346"/>
        <w:jc w:val="left"/>
        <w:rPr>
          <w:rFonts w:cs="Calibri"/>
          <w:color w:val="000000"/>
          <w:kern w:val="0"/>
          <w:sz w:val="23"/>
          <w:szCs w:val="23"/>
        </w:rPr>
      </w:pPr>
      <w:r>
        <w:rPr>
          <w:rFonts w:cs="Calibri"/>
          <w:color w:val="000000"/>
          <w:kern w:val="0"/>
          <w:sz w:val="23"/>
          <w:szCs w:val="23"/>
        </w:rPr>
        <w:t>Par value of cumulative preferred stock with a 7 percent dividend rate    $2,000,000</w:t>
      </w:r>
    </w:p>
    <w:p w:rsidR="006D21D6" w:rsidRDefault="00470A01">
      <w:pPr>
        <w:autoSpaceDE w:val="0"/>
        <w:autoSpaceDN w:val="0"/>
        <w:adjustRightInd w:val="0"/>
        <w:ind w:leftChars="165" w:left="346"/>
        <w:jc w:val="left"/>
        <w:rPr>
          <w:rFonts w:cs="Calibri"/>
          <w:color w:val="000000"/>
          <w:kern w:val="0"/>
          <w:sz w:val="23"/>
          <w:szCs w:val="23"/>
        </w:rPr>
      </w:pPr>
      <w:r>
        <w:rPr>
          <w:rFonts w:cs="Calibri"/>
          <w:color w:val="000000"/>
          <w:kern w:val="0"/>
          <w:sz w:val="23"/>
          <w:szCs w:val="23"/>
        </w:rPr>
        <w:t>Tax rate                                                     30%</w:t>
      </w:r>
    </w:p>
    <w:p w:rsidR="006D21D6" w:rsidRDefault="00067E9F">
      <w:pPr>
        <w:autoSpaceDE w:val="0"/>
        <w:autoSpaceDN w:val="0"/>
        <w:adjustRightInd w:val="0"/>
        <w:ind w:leftChars="165" w:left="346"/>
        <w:rPr>
          <w:rFonts w:cs="Calibri"/>
          <w:color w:val="000000"/>
          <w:kern w:val="0"/>
          <w:sz w:val="23"/>
          <w:szCs w:val="23"/>
        </w:rPr>
      </w:pPr>
      <w:r w:rsidRPr="00067E9F">
        <w:rPr>
          <w:sz w:val="23"/>
          <w:szCs w:val="23"/>
        </w:rPr>
        <w:drawing>
          <wp:anchor distT="0" distB="0" distL="114300" distR="114300" simplePos="0" relativeHeight="251665920" behindDoc="0" locked="0" layoutInCell="1" allowOverlap="1" wp14:anchorId="6444BF59" wp14:editId="3C6DAB86">
            <wp:simplePos x="0" y="0"/>
            <wp:positionH relativeFrom="column">
              <wp:posOffset>4965895</wp:posOffset>
            </wp:positionH>
            <wp:positionV relativeFrom="paragraph">
              <wp:posOffset>313006</wp:posOffset>
            </wp:positionV>
            <wp:extent cx="1293495" cy="1233805"/>
            <wp:effectExtent l="0" t="0" r="1905" b="4445"/>
            <wp:wrapNone/>
            <wp:docPr id="6" name="图片 6"/>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3495" cy="1233805"/>
                    </a:xfrm>
                    <a:prstGeom prst="rect">
                      <a:avLst/>
                    </a:prstGeom>
                    <a:noFill/>
                    <a:ln>
                      <a:noFill/>
                    </a:ln>
                  </pic:spPr>
                </pic:pic>
              </a:graphicData>
            </a:graphic>
          </wp:anchor>
        </w:drawing>
      </w:r>
      <w:r w:rsidR="00470A01">
        <w:rPr>
          <w:rFonts w:cs="Calibri"/>
          <w:color w:val="000000"/>
          <w:kern w:val="0"/>
          <w:sz w:val="23"/>
          <w:szCs w:val="23"/>
        </w:rPr>
        <w:t>The bonds were issued at par and can be converted into 300,000 co</w:t>
      </w:r>
      <w:r w:rsidR="00470A01">
        <w:rPr>
          <w:rFonts w:cs="Calibri"/>
          <w:color w:val="000000"/>
          <w:kern w:val="0"/>
          <w:sz w:val="23"/>
          <w:szCs w:val="23"/>
        </w:rPr>
        <w:t>mmon shares. All securities were outstanding for the entire year. Diluted earnings per share is closest to:</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A. $1.05</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B. $1.26</w:t>
      </w:r>
    </w:p>
    <w:p w:rsidR="006D21D6" w:rsidRDefault="00470A01">
      <w:pPr>
        <w:autoSpaceDE w:val="0"/>
        <w:autoSpaceDN w:val="0"/>
        <w:adjustRightInd w:val="0"/>
        <w:ind w:leftChars="165" w:left="346"/>
        <w:rPr>
          <w:rFonts w:cs="Calibri"/>
          <w:color w:val="000000"/>
          <w:kern w:val="0"/>
          <w:sz w:val="23"/>
          <w:szCs w:val="23"/>
        </w:rPr>
      </w:pPr>
      <w:r>
        <w:rPr>
          <w:rFonts w:cs="Calibri"/>
          <w:color w:val="000000"/>
          <w:kern w:val="0"/>
          <w:sz w:val="23"/>
          <w:szCs w:val="23"/>
        </w:rPr>
        <w:t>C. $1.36</w:t>
      </w:r>
    </w:p>
    <w:p w:rsidR="006D21D6" w:rsidRDefault="006D21D6">
      <w:pPr>
        <w:autoSpaceDE w:val="0"/>
        <w:autoSpaceDN w:val="0"/>
        <w:adjustRightInd w:val="0"/>
        <w:rPr>
          <w:rFonts w:cs="Calibri"/>
          <w:color w:val="000000"/>
          <w:kern w:val="0"/>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color w:val="000000"/>
          <w:kern w:val="0"/>
          <w:sz w:val="23"/>
          <w:szCs w:val="23"/>
        </w:rPr>
        <w:t>Answer: B</w:t>
      </w:r>
    </w:p>
    <w:p w:rsidR="006D21D6" w:rsidRDefault="00470A01">
      <w:pPr>
        <w:autoSpaceDE w:val="0"/>
        <w:autoSpaceDN w:val="0"/>
        <w:adjustRightInd w:val="0"/>
        <w:ind w:leftChars="165" w:left="346"/>
        <w:rPr>
          <w:sz w:val="23"/>
          <w:szCs w:val="23"/>
        </w:rPr>
      </w:pPr>
      <w:r>
        <w:rPr>
          <w:sz w:val="23"/>
          <w:szCs w:val="23"/>
        </w:rPr>
        <w:t xml:space="preserve">Dividends of $140,000 (0.07 x 2,000,000) should be deducted from net income to determine the amount available </w:t>
      </w:r>
      <w:r>
        <w:rPr>
          <w:sz w:val="23"/>
          <w:szCs w:val="23"/>
        </w:rPr>
        <w:t>to common shareholders: $1,360,000 = (1,500,000 – 140,000). Basic EPS would be $1,360,000 / 1,000,000 or $1.36 per share. Diluted EPS would consider the convertible bonds if they were dilutive. Interest on the bonds is $400,000 and the after-tax amount add</w:t>
      </w:r>
      <w:r>
        <w:rPr>
          <w:sz w:val="23"/>
          <w:szCs w:val="23"/>
        </w:rPr>
        <w:t xml:space="preserve"> back to net income is $400,000 (1-.30) = $280,000. Diluted EPS, assuming conversion, is ($1,360,000 + 280,000) / (1,000,000 +300,000) = 1,640,000/1,300,000= $1.26 per share. The bonds are dilutive.</w:t>
      </w:r>
    </w:p>
    <w:p w:rsidR="006D21D6" w:rsidRDefault="006D21D6">
      <w:pPr>
        <w:autoSpaceDE w:val="0"/>
        <w:autoSpaceDN w:val="0"/>
        <w:adjustRightInd w:val="0"/>
        <w:rPr>
          <w:rFonts w:cs="Calibri"/>
          <w:color w:val="000000"/>
          <w:kern w:val="0"/>
          <w:sz w:val="23"/>
          <w:szCs w:val="23"/>
        </w:rPr>
      </w:pPr>
    </w:p>
    <w:p w:rsidR="006D21D6" w:rsidRDefault="006D21D6">
      <w:pPr>
        <w:autoSpaceDE w:val="0"/>
        <w:autoSpaceDN w:val="0"/>
        <w:adjustRightInd w:val="0"/>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hint="eastAsia"/>
          <w:color w:val="000000"/>
          <w:kern w:val="0"/>
          <w:sz w:val="23"/>
          <w:szCs w:val="23"/>
        </w:rPr>
        <w:t xml:space="preserve">8. </w:t>
      </w:r>
      <w:r>
        <w:rPr>
          <w:rFonts w:cs="Calibri"/>
          <w:color w:val="000000"/>
          <w:kern w:val="0"/>
          <w:sz w:val="23"/>
          <w:szCs w:val="23"/>
        </w:rPr>
        <w:t>Assume U.S. GAAP (generally accepted accounting prin</w:t>
      </w:r>
      <w:r>
        <w:rPr>
          <w:rFonts w:cs="Calibri"/>
          <w:color w:val="000000"/>
          <w:kern w:val="0"/>
          <w:sz w:val="23"/>
          <w:szCs w:val="23"/>
        </w:rPr>
        <w:t xml:space="preserve">ciples) applies unless otherwise </w:t>
      </w:r>
      <w:proofErr w:type="spellStart"/>
      <w:proofErr w:type="gramStart"/>
      <w:r>
        <w:rPr>
          <w:rFonts w:cs="Calibri"/>
          <w:color w:val="000000"/>
          <w:kern w:val="0"/>
          <w:sz w:val="23"/>
          <w:szCs w:val="23"/>
        </w:rPr>
        <w:t>noted.At</w:t>
      </w:r>
      <w:proofErr w:type="spellEnd"/>
      <w:proofErr w:type="gramEnd"/>
      <w:r>
        <w:rPr>
          <w:rFonts w:cs="Calibri"/>
          <w:color w:val="000000"/>
          <w:kern w:val="0"/>
          <w:sz w:val="23"/>
          <w:szCs w:val="23"/>
        </w:rPr>
        <w:t xml:space="preserve"> the end of the year, a company sold equipment for $30,000 cash. The company paid $110,000 for the equipment several years ago and had recorded accumulated depreciation of $70,000 at the time of its sale. All else e</w:t>
      </w:r>
      <w:r>
        <w:rPr>
          <w:rFonts w:cs="Calibri"/>
          <w:color w:val="000000"/>
          <w:kern w:val="0"/>
          <w:sz w:val="23"/>
          <w:szCs w:val="23"/>
        </w:rPr>
        <w:t>qual, the equipment sale will result in the company’s cash flow from:</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A. investing activities increasing by $30,000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B. investing activities decreasing by $10,000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C. operating activities being $10,000 less than net income</w:t>
      </w:r>
    </w:p>
    <w:p w:rsidR="006D21D6" w:rsidRDefault="006D21D6">
      <w:pPr>
        <w:autoSpaceDE w:val="0"/>
        <w:autoSpaceDN w:val="0"/>
        <w:adjustRightInd w:val="0"/>
        <w:ind w:leftChars="135" w:left="283"/>
        <w:rPr>
          <w:rFonts w:cs="Calibri"/>
          <w:color w:val="000000"/>
          <w:kern w:val="0"/>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color w:val="000000"/>
          <w:kern w:val="0"/>
          <w:sz w:val="23"/>
          <w:szCs w:val="23"/>
        </w:rPr>
        <w:t>Answer: A</w:t>
      </w:r>
    </w:p>
    <w:p w:rsidR="006D21D6" w:rsidRDefault="00470A01">
      <w:pPr>
        <w:autoSpaceDE w:val="0"/>
        <w:autoSpaceDN w:val="0"/>
        <w:adjustRightInd w:val="0"/>
        <w:ind w:leftChars="135" w:left="283"/>
        <w:rPr>
          <w:sz w:val="23"/>
          <w:szCs w:val="23"/>
        </w:rPr>
      </w:pPr>
      <w:r>
        <w:rPr>
          <w:sz w:val="23"/>
          <w:szCs w:val="23"/>
        </w:rPr>
        <w:t>The book value of the eq</w:t>
      </w:r>
      <w:r>
        <w:rPr>
          <w:sz w:val="23"/>
          <w:szCs w:val="23"/>
        </w:rPr>
        <w:t xml:space="preserve">uipment at the time of sale is $110,000 - $70,000 = $40,000. The proceeds are $30,000; </w:t>
      </w:r>
      <w:proofErr w:type="gramStart"/>
      <w:r>
        <w:rPr>
          <w:sz w:val="23"/>
          <w:szCs w:val="23"/>
        </w:rPr>
        <w:t>therefore</w:t>
      </w:r>
      <w:proofErr w:type="gramEnd"/>
      <w:r>
        <w:rPr>
          <w:sz w:val="23"/>
          <w:szCs w:val="23"/>
        </w:rPr>
        <w:t xml:space="preserve"> a loss of $10,000 is reported on the income statement. The loss reduces net income, but it is a non-cash amount, so is added back to net income in the calculat</w:t>
      </w:r>
      <w:r>
        <w:rPr>
          <w:sz w:val="23"/>
          <w:szCs w:val="23"/>
        </w:rPr>
        <w:t>ion of the cash from operations. Therefore, cash from operations is higher than net income, not lower. The total amount of the proceeds, $30,000, is the cash inflow from the transaction and is shown as a cash inflow from investing activities.</w:t>
      </w:r>
    </w:p>
    <w:p w:rsidR="006D21D6" w:rsidRDefault="00067E9F">
      <w:pPr>
        <w:autoSpaceDE w:val="0"/>
        <w:autoSpaceDN w:val="0"/>
        <w:adjustRightInd w:val="0"/>
        <w:ind w:leftChars="135" w:left="283"/>
        <w:rPr>
          <w:rFonts w:cs="Calibri"/>
          <w:color w:val="000000"/>
          <w:kern w:val="0"/>
          <w:sz w:val="23"/>
          <w:szCs w:val="23"/>
        </w:rPr>
      </w:pPr>
      <w:r w:rsidRPr="00067E9F">
        <w:rPr>
          <w:sz w:val="23"/>
          <w:szCs w:val="23"/>
        </w:rPr>
        <w:drawing>
          <wp:anchor distT="0" distB="0" distL="114300" distR="114300" simplePos="0" relativeHeight="251680256" behindDoc="0" locked="0" layoutInCell="1" allowOverlap="1" wp14:anchorId="56BD04E3" wp14:editId="2C714D5C">
            <wp:simplePos x="0" y="0"/>
            <wp:positionH relativeFrom="column">
              <wp:posOffset>5232400</wp:posOffset>
            </wp:positionH>
            <wp:positionV relativeFrom="paragraph">
              <wp:posOffset>80010</wp:posOffset>
            </wp:positionV>
            <wp:extent cx="1217295" cy="1160145"/>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stretch>
                      <a:fillRect/>
                    </a:stretch>
                  </pic:blipFill>
                  <pic:spPr>
                    <a:xfrm>
                      <a:off x="0" y="0"/>
                      <a:ext cx="1217295" cy="1160145"/>
                    </a:xfrm>
                    <a:prstGeom prst="rect">
                      <a:avLst/>
                    </a:prstGeom>
                  </pic:spPr>
                </pic:pic>
              </a:graphicData>
            </a:graphic>
          </wp:anchor>
        </w:drawing>
      </w:r>
    </w:p>
    <w:p w:rsidR="006D21D6" w:rsidRDefault="006D21D6">
      <w:pPr>
        <w:autoSpaceDE w:val="0"/>
        <w:autoSpaceDN w:val="0"/>
        <w:adjustRightInd w:val="0"/>
        <w:ind w:leftChars="135" w:left="283"/>
        <w:rPr>
          <w:rFonts w:cs="Calibri"/>
          <w:color w:val="000000"/>
          <w:kern w:val="0"/>
          <w:sz w:val="23"/>
          <w:szCs w:val="23"/>
        </w:rPr>
      </w:pPr>
    </w:p>
    <w:p w:rsidR="006D21D6" w:rsidRDefault="00470A01">
      <w:pPr>
        <w:autoSpaceDE w:val="0"/>
        <w:autoSpaceDN w:val="0"/>
        <w:adjustRightInd w:val="0"/>
        <w:rPr>
          <w:rFonts w:cs="Calibri"/>
          <w:color w:val="000000"/>
          <w:kern w:val="0"/>
          <w:sz w:val="23"/>
          <w:szCs w:val="23"/>
        </w:rPr>
      </w:pPr>
      <w:r>
        <w:rPr>
          <w:rFonts w:cs="Calibri" w:hint="eastAsia"/>
          <w:color w:val="000000"/>
          <w:kern w:val="0"/>
          <w:sz w:val="23"/>
          <w:szCs w:val="23"/>
        </w:rPr>
        <w:t xml:space="preserve">9. </w:t>
      </w:r>
      <w:r>
        <w:rPr>
          <w:rFonts w:cs="Calibri"/>
          <w:color w:val="000000"/>
          <w:kern w:val="0"/>
          <w:sz w:val="23"/>
          <w:szCs w:val="23"/>
        </w:rPr>
        <w:t xml:space="preserve">The </w:t>
      </w:r>
      <w:r>
        <w:rPr>
          <w:rFonts w:cs="Calibri"/>
          <w:color w:val="000000"/>
          <w:kern w:val="0"/>
          <w:sz w:val="23"/>
          <w:szCs w:val="23"/>
        </w:rPr>
        <w:t>following information (in millions) on a company is available:</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Cost of goods sold       $ 500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lastRenderedPageBreak/>
        <w:t>Increase in total assets                               250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Increase in total liabilities                             200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 xml:space="preserve">Change in inventory                      </w:t>
      </w:r>
      <w:r>
        <w:rPr>
          <w:rFonts w:cs="Calibri"/>
          <w:color w:val="000000"/>
          <w:kern w:val="0"/>
          <w:sz w:val="23"/>
          <w:szCs w:val="23"/>
        </w:rPr>
        <w:t xml:space="preserve">         </w:t>
      </w:r>
      <w:proofErr w:type="gramStart"/>
      <w:r>
        <w:rPr>
          <w:rFonts w:cs="Calibri"/>
          <w:color w:val="000000"/>
          <w:kern w:val="0"/>
          <w:sz w:val="23"/>
          <w:szCs w:val="23"/>
        </w:rPr>
        <w:t xml:space="preserve">   (</w:t>
      </w:r>
      <w:proofErr w:type="gramEnd"/>
      <w:r>
        <w:rPr>
          <w:rFonts w:cs="Calibri"/>
          <w:color w:val="000000"/>
          <w:kern w:val="0"/>
          <w:sz w:val="23"/>
          <w:szCs w:val="23"/>
        </w:rPr>
        <w:t>30)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 xml:space="preserve">Change in accounts payable                        </w:t>
      </w:r>
      <w:proofErr w:type="gramStart"/>
      <w:r>
        <w:rPr>
          <w:rFonts w:cs="Calibri"/>
          <w:color w:val="000000"/>
          <w:kern w:val="0"/>
          <w:sz w:val="23"/>
          <w:szCs w:val="23"/>
        </w:rPr>
        <w:t xml:space="preserve">   (</w:t>
      </w:r>
      <w:proofErr w:type="gramEnd"/>
      <w:r>
        <w:rPr>
          <w:rFonts w:cs="Calibri"/>
          <w:color w:val="000000"/>
          <w:kern w:val="0"/>
          <w:sz w:val="23"/>
          <w:szCs w:val="23"/>
        </w:rPr>
        <w:t>25)</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The amount of cash (in millions) that the company paid to its suppliers is closest to:</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A. $445</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B. $495</w:t>
      </w:r>
    </w:p>
    <w:p w:rsidR="006D21D6" w:rsidRDefault="00067E9F">
      <w:pPr>
        <w:autoSpaceDE w:val="0"/>
        <w:autoSpaceDN w:val="0"/>
        <w:adjustRightInd w:val="0"/>
        <w:ind w:leftChars="135" w:left="283"/>
        <w:rPr>
          <w:rFonts w:cs="Calibri"/>
          <w:color w:val="000000"/>
          <w:kern w:val="0"/>
          <w:sz w:val="23"/>
          <w:szCs w:val="23"/>
        </w:rPr>
      </w:pPr>
      <w:r w:rsidRPr="00067E9F">
        <w:rPr>
          <w:rFonts w:cs="Calibri"/>
          <w:color w:val="000000"/>
          <w:kern w:val="0"/>
          <w:sz w:val="23"/>
          <w:szCs w:val="23"/>
        </w:rPr>
        <w:drawing>
          <wp:anchor distT="0" distB="0" distL="114300" distR="114300" simplePos="0" relativeHeight="251687424" behindDoc="0" locked="0" layoutInCell="1" allowOverlap="1" wp14:anchorId="6444BF59" wp14:editId="3C6DAB86">
            <wp:simplePos x="0" y="0"/>
            <wp:positionH relativeFrom="column">
              <wp:posOffset>4681855</wp:posOffset>
            </wp:positionH>
            <wp:positionV relativeFrom="paragraph">
              <wp:posOffset>164074</wp:posOffset>
            </wp:positionV>
            <wp:extent cx="1293495" cy="1233805"/>
            <wp:effectExtent l="0" t="0" r="1905" b="4445"/>
            <wp:wrapNone/>
            <wp:docPr id="8" name="图片 8"/>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3495" cy="1233805"/>
                    </a:xfrm>
                    <a:prstGeom prst="rect">
                      <a:avLst/>
                    </a:prstGeom>
                    <a:noFill/>
                    <a:ln>
                      <a:noFill/>
                    </a:ln>
                  </pic:spPr>
                </pic:pic>
              </a:graphicData>
            </a:graphic>
          </wp:anchor>
        </w:drawing>
      </w:r>
      <w:r w:rsidR="00470A01">
        <w:rPr>
          <w:rFonts w:cs="Calibri"/>
          <w:color w:val="000000"/>
          <w:kern w:val="0"/>
          <w:sz w:val="23"/>
          <w:szCs w:val="23"/>
        </w:rPr>
        <w:t>C. $505</w:t>
      </w:r>
    </w:p>
    <w:p w:rsidR="006D21D6" w:rsidRDefault="006D21D6">
      <w:pPr>
        <w:autoSpaceDE w:val="0"/>
        <w:autoSpaceDN w:val="0"/>
        <w:adjustRightInd w:val="0"/>
        <w:rPr>
          <w:sz w:val="23"/>
          <w:szCs w:val="23"/>
        </w:rPr>
      </w:pPr>
    </w:p>
    <w:p w:rsidR="006D21D6" w:rsidRDefault="00470A01">
      <w:pPr>
        <w:autoSpaceDE w:val="0"/>
        <w:autoSpaceDN w:val="0"/>
        <w:adjustRightInd w:val="0"/>
        <w:rPr>
          <w:rFonts w:cs="Calibri"/>
          <w:color w:val="000000"/>
          <w:kern w:val="0"/>
          <w:sz w:val="23"/>
          <w:szCs w:val="23"/>
        </w:rPr>
      </w:pPr>
      <w:r>
        <w:rPr>
          <w:rFonts w:cs="Calibri"/>
          <w:color w:val="000000"/>
          <w:kern w:val="0"/>
          <w:sz w:val="23"/>
          <w:szCs w:val="23"/>
        </w:rPr>
        <w:t>Answer = B</w:t>
      </w:r>
    </w:p>
    <w:tbl>
      <w:tblPr>
        <w:tblW w:w="6579" w:type="dxa"/>
        <w:tblLayout w:type="fixed"/>
        <w:tblLook w:val="04A0" w:firstRow="1" w:lastRow="0" w:firstColumn="1" w:lastColumn="0" w:noHBand="0" w:noVBand="1"/>
      </w:tblPr>
      <w:tblGrid>
        <w:gridCol w:w="3652"/>
        <w:gridCol w:w="2927"/>
      </w:tblGrid>
      <w:tr w:rsidR="006D21D6">
        <w:trPr>
          <w:trHeight w:val="138"/>
        </w:trPr>
        <w:tc>
          <w:tcPr>
            <w:tcW w:w="3652" w:type="dxa"/>
          </w:tcPr>
          <w:p w:rsidR="006D21D6" w:rsidRDefault="00470A01">
            <w:pPr>
              <w:autoSpaceDE w:val="0"/>
              <w:autoSpaceDN w:val="0"/>
              <w:adjustRightInd w:val="0"/>
              <w:ind w:firstLineChars="129" w:firstLine="284"/>
              <w:jc w:val="left"/>
              <w:rPr>
                <w:rFonts w:ascii="Calibri" w:hAnsi="Calibri" w:cs="Calibri"/>
                <w:color w:val="000000"/>
                <w:kern w:val="0"/>
                <w:sz w:val="22"/>
              </w:rPr>
            </w:pPr>
            <w:r>
              <w:rPr>
                <w:rFonts w:ascii="Calibri" w:hAnsi="Calibri" w:cs="Calibri"/>
                <w:color w:val="000000"/>
                <w:kern w:val="0"/>
                <w:sz w:val="22"/>
              </w:rPr>
              <w:t xml:space="preserve">Cost of goods sold </w:t>
            </w:r>
          </w:p>
        </w:tc>
        <w:tc>
          <w:tcPr>
            <w:tcW w:w="2927" w:type="dxa"/>
          </w:tcPr>
          <w:p w:rsidR="006D21D6" w:rsidRDefault="00470A01">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$500 </w:t>
            </w:r>
          </w:p>
        </w:tc>
      </w:tr>
      <w:tr w:rsidR="006D21D6">
        <w:trPr>
          <w:trHeight w:val="138"/>
        </w:trPr>
        <w:tc>
          <w:tcPr>
            <w:tcW w:w="3652" w:type="dxa"/>
          </w:tcPr>
          <w:p w:rsidR="006D21D6" w:rsidRDefault="00470A01">
            <w:pPr>
              <w:autoSpaceDE w:val="0"/>
              <w:autoSpaceDN w:val="0"/>
              <w:adjustRightInd w:val="0"/>
              <w:ind w:leftChars="104" w:left="218" w:firstLineChars="29" w:firstLine="64"/>
              <w:jc w:val="left"/>
              <w:rPr>
                <w:rFonts w:ascii="Calibri" w:hAnsi="Calibri" w:cs="Calibri"/>
                <w:color w:val="000000"/>
                <w:kern w:val="0"/>
                <w:sz w:val="22"/>
              </w:rPr>
            </w:pPr>
            <w:r>
              <w:rPr>
                <w:rFonts w:ascii="Calibri" w:hAnsi="Calibri" w:cs="Calibri"/>
                <w:color w:val="000000"/>
                <w:kern w:val="0"/>
                <w:sz w:val="22"/>
              </w:rPr>
              <w:t xml:space="preserve">Less: Decrease </w:t>
            </w:r>
            <w:proofErr w:type="spellStart"/>
            <w:r>
              <w:rPr>
                <w:rFonts w:ascii="Calibri" w:hAnsi="Calibri" w:cs="Calibri"/>
                <w:color w:val="000000"/>
                <w:kern w:val="0"/>
                <w:sz w:val="22"/>
              </w:rPr>
              <w:t>ininventory</w:t>
            </w:r>
            <w:proofErr w:type="spellEnd"/>
          </w:p>
        </w:tc>
        <w:tc>
          <w:tcPr>
            <w:tcW w:w="2927" w:type="dxa"/>
          </w:tcPr>
          <w:p w:rsidR="006D21D6" w:rsidRDefault="00470A01">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(30) </w:t>
            </w:r>
          </w:p>
        </w:tc>
      </w:tr>
      <w:tr w:rsidR="006D21D6">
        <w:trPr>
          <w:trHeight w:val="137"/>
        </w:trPr>
        <w:tc>
          <w:tcPr>
            <w:tcW w:w="3652" w:type="dxa"/>
          </w:tcPr>
          <w:p w:rsidR="006D21D6" w:rsidRDefault="00470A01">
            <w:pPr>
              <w:autoSpaceDE w:val="0"/>
              <w:autoSpaceDN w:val="0"/>
              <w:adjustRightInd w:val="0"/>
              <w:ind w:firstLineChars="129" w:firstLine="284"/>
              <w:jc w:val="left"/>
              <w:rPr>
                <w:rFonts w:ascii="Calibri" w:hAnsi="Calibri" w:cs="Calibri"/>
                <w:color w:val="000000"/>
                <w:kern w:val="0"/>
                <w:sz w:val="22"/>
              </w:rPr>
            </w:pPr>
            <w:r>
              <w:rPr>
                <w:rFonts w:ascii="Calibri" w:hAnsi="Calibri" w:cs="Calibri"/>
                <w:color w:val="000000"/>
                <w:kern w:val="0"/>
                <w:sz w:val="22"/>
              </w:rPr>
              <w:t xml:space="preserve">Equals purchases </w:t>
            </w:r>
            <w:proofErr w:type="spellStart"/>
            <w:r>
              <w:rPr>
                <w:rFonts w:ascii="Calibri" w:hAnsi="Calibri" w:cs="Calibri"/>
                <w:color w:val="000000"/>
                <w:kern w:val="0"/>
                <w:sz w:val="22"/>
              </w:rPr>
              <w:t>fromsuppliers</w:t>
            </w:r>
            <w:proofErr w:type="spellEnd"/>
            <w:r>
              <w:rPr>
                <w:rFonts w:ascii="Calibri" w:hAnsi="Calibri" w:cs="Calibri"/>
                <w:color w:val="000000"/>
                <w:kern w:val="0"/>
                <w:sz w:val="22"/>
              </w:rPr>
              <w:t xml:space="preserve"> </w:t>
            </w:r>
          </w:p>
        </w:tc>
        <w:tc>
          <w:tcPr>
            <w:tcW w:w="2927" w:type="dxa"/>
          </w:tcPr>
          <w:p w:rsidR="006D21D6" w:rsidRDefault="00470A01">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$470 </w:t>
            </w:r>
          </w:p>
        </w:tc>
      </w:tr>
      <w:tr w:rsidR="006D21D6">
        <w:trPr>
          <w:trHeight w:val="175"/>
        </w:trPr>
        <w:tc>
          <w:tcPr>
            <w:tcW w:w="3652" w:type="dxa"/>
          </w:tcPr>
          <w:p w:rsidR="006D21D6" w:rsidRDefault="00470A01">
            <w:pPr>
              <w:autoSpaceDE w:val="0"/>
              <w:autoSpaceDN w:val="0"/>
              <w:adjustRightInd w:val="0"/>
              <w:ind w:firstLineChars="129" w:firstLine="284"/>
              <w:jc w:val="left"/>
              <w:rPr>
                <w:rFonts w:ascii="Calibri" w:hAnsi="Calibri" w:cs="Calibri"/>
                <w:color w:val="000000"/>
                <w:kern w:val="0"/>
                <w:sz w:val="22"/>
              </w:rPr>
            </w:pPr>
            <w:r>
              <w:rPr>
                <w:rFonts w:ascii="Calibri" w:hAnsi="Calibri" w:cs="Calibri"/>
                <w:color w:val="000000"/>
                <w:kern w:val="0"/>
                <w:sz w:val="22"/>
              </w:rPr>
              <w:t xml:space="preserve">Plus: Decrease in accounts payable </w:t>
            </w:r>
          </w:p>
        </w:tc>
        <w:tc>
          <w:tcPr>
            <w:tcW w:w="2927" w:type="dxa"/>
          </w:tcPr>
          <w:p w:rsidR="006D21D6" w:rsidRDefault="00470A01">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25 </w:t>
            </w:r>
          </w:p>
        </w:tc>
      </w:tr>
      <w:tr w:rsidR="006D21D6">
        <w:trPr>
          <w:trHeight w:val="142"/>
        </w:trPr>
        <w:tc>
          <w:tcPr>
            <w:tcW w:w="3652" w:type="dxa"/>
          </w:tcPr>
          <w:p w:rsidR="006D21D6" w:rsidRDefault="00470A01">
            <w:pPr>
              <w:autoSpaceDE w:val="0"/>
              <w:autoSpaceDN w:val="0"/>
              <w:adjustRightInd w:val="0"/>
              <w:ind w:firstLineChars="129" w:firstLine="284"/>
              <w:jc w:val="left"/>
              <w:rPr>
                <w:rFonts w:ascii="Calibri" w:hAnsi="Calibri" w:cs="Calibri"/>
                <w:color w:val="000000"/>
                <w:kern w:val="0"/>
                <w:sz w:val="22"/>
              </w:rPr>
            </w:pPr>
            <w:r>
              <w:rPr>
                <w:rFonts w:ascii="Calibri" w:hAnsi="Calibri" w:cs="Calibri"/>
                <w:color w:val="000000"/>
                <w:kern w:val="0"/>
                <w:sz w:val="22"/>
              </w:rPr>
              <w:t xml:space="preserve">Cash paid to suppliers </w:t>
            </w:r>
          </w:p>
        </w:tc>
        <w:tc>
          <w:tcPr>
            <w:tcW w:w="2927" w:type="dxa"/>
          </w:tcPr>
          <w:p w:rsidR="006D21D6" w:rsidRDefault="00470A01">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$495 </w:t>
            </w:r>
          </w:p>
        </w:tc>
      </w:tr>
    </w:tbl>
    <w:p w:rsidR="006D21D6" w:rsidRDefault="006D21D6">
      <w:pPr>
        <w:autoSpaceDE w:val="0"/>
        <w:autoSpaceDN w:val="0"/>
        <w:adjustRightInd w:val="0"/>
        <w:ind w:leftChars="135" w:left="283"/>
        <w:rPr>
          <w:sz w:val="23"/>
          <w:szCs w:val="23"/>
        </w:rPr>
      </w:pPr>
    </w:p>
    <w:p w:rsidR="006D21D6" w:rsidRDefault="006D21D6">
      <w:pPr>
        <w:autoSpaceDE w:val="0"/>
        <w:autoSpaceDN w:val="0"/>
        <w:adjustRightInd w:val="0"/>
        <w:ind w:leftChars="135" w:left="283"/>
        <w:rPr>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hint="eastAsia"/>
          <w:color w:val="000000"/>
          <w:kern w:val="0"/>
          <w:sz w:val="23"/>
          <w:szCs w:val="23"/>
        </w:rPr>
        <w:t xml:space="preserve">10. </w:t>
      </w:r>
      <w:r>
        <w:rPr>
          <w:rFonts w:cs="Calibri"/>
          <w:color w:val="000000"/>
          <w:kern w:val="0"/>
          <w:sz w:val="23"/>
          <w:szCs w:val="23"/>
        </w:rPr>
        <w:t xml:space="preserve">The following information (U.S. $ millions) for two companies operating in the same industry during the same time period is </w:t>
      </w:r>
      <w:r>
        <w:rPr>
          <w:rFonts w:cs="Calibri"/>
          <w:color w:val="000000"/>
          <w:kern w:val="0"/>
          <w:sz w:val="23"/>
          <w:szCs w:val="23"/>
        </w:rPr>
        <w:t>available:</w:t>
      </w:r>
    </w:p>
    <w:p w:rsidR="006D21D6" w:rsidRDefault="00470A01">
      <w:pPr>
        <w:autoSpaceDE w:val="0"/>
        <w:autoSpaceDN w:val="0"/>
        <w:adjustRightInd w:val="0"/>
        <w:ind w:leftChars="135" w:left="283" w:firstLineChars="1050" w:firstLine="2415"/>
        <w:rPr>
          <w:rFonts w:cs="Calibri"/>
          <w:color w:val="000000"/>
          <w:kern w:val="0"/>
          <w:sz w:val="23"/>
          <w:szCs w:val="23"/>
        </w:rPr>
      </w:pPr>
      <w:r>
        <w:rPr>
          <w:rFonts w:cs="Calibri"/>
          <w:color w:val="000000"/>
          <w:kern w:val="0"/>
          <w:sz w:val="23"/>
          <w:szCs w:val="23"/>
        </w:rPr>
        <w:t xml:space="preserve">Company </w:t>
      </w:r>
      <w:proofErr w:type="spellStart"/>
      <w:r>
        <w:rPr>
          <w:rFonts w:cs="Calibri"/>
          <w:color w:val="000000"/>
          <w:kern w:val="0"/>
          <w:sz w:val="23"/>
          <w:szCs w:val="23"/>
        </w:rPr>
        <w:t>ACompany</w:t>
      </w:r>
      <w:proofErr w:type="spellEnd"/>
      <w:r>
        <w:rPr>
          <w:rFonts w:cs="Calibri"/>
          <w:color w:val="000000"/>
          <w:kern w:val="0"/>
          <w:sz w:val="23"/>
          <w:szCs w:val="23"/>
        </w:rPr>
        <w:t xml:space="preserve"> B</w:t>
      </w:r>
      <w:bookmarkStart w:id="0" w:name="_GoBack"/>
      <w:bookmarkEnd w:id="0"/>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Net sales                 120               300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Total assets               70             140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Total liabilities             25    40</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If both companies achieve a return on equity of 15% for the period, which of the following st</w:t>
      </w:r>
      <w:r>
        <w:rPr>
          <w:rFonts w:cs="Calibri"/>
          <w:color w:val="000000"/>
          <w:kern w:val="0"/>
          <w:sz w:val="23"/>
          <w:szCs w:val="23"/>
        </w:rPr>
        <w:t>atements is most likely correct? Compared to Company B, Company A has a:</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A. higher net profit margin</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B. higher total asset turnover</w:t>
      </w:r>
    </w:p>
    <w:p w:rsidR="006D21D6" w:rsidRDefault="00470A01">
      <w:pPr>
        <w:autoSpaceDE w:val="0"/>
        <w:autoSpaceDN w:val="0"/>
        <w:adjustRightInd w:val="0"/>
        <w:ind w:leftChars="135" w:left="283"/>
        <w:rPr>
          <w:rFonts w:cs="Calibri"/>
          <w:color w:val="000000"/>
          <w:kern w:val="0"/>
          <w:sz w:val="23"/>
          <w:szCs w:val="23"/>
        </w:rPr>
      </w:pPr>
      <w:r>
        <w:rPr>
          <w:rFonts w:cs="Calibri"/>
          <w:color w:val="000000"/>
          <w:kern w:val="0"/>
          <w:sz w:val="23"/>
          <w:szCs w:val="23"/>
        </w:rPr>
        <w:t>C. lower financial leverage multiplier</w:t>
      </w:r>
    </w:p>
    <w:p w:rsidR="006D21D6" w:rsidRDefault="006D21D6">
      <w:pPr>
        <w:autoSpaceDE w:val="0"/>
        <w:autoSpaceDN w:val="0"/>
        <w:adjustRightInd w:val="0"/>
        <w:ind w:leftChars="135" w:left="283"/>
        <w:rPr>
          <w:rFonts w:cs="Calibri"/>
          <w:color w:val="000000"/>
          <w:kern w:val="0"/>
          <w:sz w:val="23"/>
          <w:szCs w:val="23"/>
        </w:rPr>
      </w:pPr>
    </w:p>
    <w:p w:rsidR="006D21D6" w:rsidRDefault="00470A01">
      <w:pPr>
        <w:autoSpaceDE w:val="0"/>
        <w:autoSpaceDN w:val="0"/>
        <w:adjustRightInd w:val="0"/>
        <w:ind w:left="345" w:hangingChars="150" w:hanging="345"/>
        <w:rPr>
          <w:rFonts w:cs="Calibri"/>
          <w:color w:val="000000"/>
          <w:kern w:val="0"/>
          <w:sz w:val="23"/>
          <w:szCs w:val="23"/>
        </w:rPr>
      </w:pPr>
      <w:r>
        <w:rPr>
          <w:rFonts w:cs="Calibri"/>
          <w:color w:val="000000"/>
          <w:kern w:val="0"/>
          <w:sz w:val="23"/>
          <w:szCs w:val="23"/>
        </w:rPr>
        <w:t>Answer: A</w:t>
      </w:r>
    </w:p>
    <w:tbl>
      <w:tblPr>
        <w:tblW w:w="8615" w:type="dxa"/>
        <w:tblInd w:w="521" w:type="dxa"/>
        <w:tblLayout w:type="fixed"/>
        <w:tblLook w:val="04A0" w:firstRow="1" w:lastRow="0" w:firstColumn="1" w:lastColumn="0" w:noHBand="0" w:noVBand="1"/>
      </w:tblPr>
      <w:tblGrid>
        <w:gridCol w:w="5321"/>
        <w:gridCol w:w="1012"/>
        <w:gridCol w:w="607"/>
        <w:gridCol w:w="1012"/>
        <w:gridCol w:w="663"/>
      </w:tblGrid>
      <w:tr w:rsidR="006D21D6">
        <w:trPr>
          <w:trHeight w:val="300"/>
        </w:trPr>
        <w:tc>
          <w:tcPr>
            <w:tcW w:w="861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b/>
                <w:bCs/>
                <w:color w:val="000000"/>
                <w:kern w:val="0"/>
                <w:sz w:val="22"/>
              </w:rPr>
            </w:pPr>
            <w:r>
              <w:rPr>
                <w:rFonts w:ascii="Calibri" w:eastAsia="宋体" w:hAnsi="Calibri" w:cs="宋体"/>
                <w:b/>
                <w:bCs/>
                <w:color w:val="000000"/>
                <w:kern w:val="0"/>
                <w:sz w:val="22"/>
              </w:rPr>
              <w:t>The DuPont system can be used to break down the ROE into three components:</w:t>
            </w:r>
          </w:p>
        </w:tc>
      </w:tr>
      <w:tr w:rsidR="006D21D6">
        <w:trPr>
          <w:trHeight w:val="300"/>
        </w:trPr>
        <w:tc>
          <w:tcPr>
            <w:tcW w:w="861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b/>
                <w:bCs/>
                <w:color w:val="000000"/>
                <w:kern w:val="0"/>
                <w:sz w:val="22"/>
              </w:rPr>
            </w:pPr>
            <w:r>
              <w:rPr>
                <w:rFonts w:ascii="Calibri" w:eastAsia="宋体" w:hAnsi="Calibri" w:cs="宋体"/>
                <w:b/>
                <w:bCs/>
                <w:color w:val="000000"/>
                <w:kern w:val="0"/>
                <w:sz w:val="22"/>
              </w:rPr>
              <w:t>ROE = Profit margin x total asset turnover x financial leverage multiplier.</w:t>
            </w:r>
          </w:p>
        </w:tc>
      </w:tr>
      <w:tr w:rsidR="006D21D6">
        <w:trPr>
          <w:trHeight w:val="300"/>
        </w:trPr>
        <w:tc>
          <w:tcPr>
            <w:tcW w:w="5321" w:type="dxa"/>
            <w:tcBorders>
              <w:top w:val="nil"/>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color w:val="000000"/>
                <w:kern w:val="0"/>
                <w:sz w:val="22"/>
              </w:rPr>
            </w:pPr>
            <w:r>
              <w:rPr>
                <w:rFonts w:ascii="Calibri" w:eastAsia="宋体" w:hAnsi="Calibri" w:cs="宋体"/>
                <w:color w:val="000000"/>
                <w:kern w:val="0"/>
                <w:sz w:val="22"/>
              </w:rPr>
              <w:t>Component</w:t>
            </w:r>
          </w:p>
        </w:tc>
        <w:tc>
          <w:tcPr>
            <w:tcW w:w="1619" w:type="dxa"/>
            <w:gridSpan w:val="2"/>
            <w:tcBorders>
              <w:top w:val="single" w:sz="4" w:space="0" w:color="auto"/>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b/>
                <w:bCs/>
                <w:color w:val="000000"/>
                <w:kern w:val="0"/>
                <w:sz w:val="22"/>
              </w:rPr>
            </w:pPr>
            <w:r>
              <w:rPr>
                <w:rFonts w:ascii="Calibri" w:eastAsia="宋体" w:hAnsi="Calibri" w:cs="宋体"/>
                <w:b/>
                <w:bCs/>
                <w:color w:val="000000"/>
                <w:kern w:val="0"/>
                <w:sz w:val="22"/>
              </w:rPr>
              <w:t>Company A</w:t>
            </w:r>
          </w:p>
        </w:tc>
        <w:tc>
          <w:tcPr>
            <w:tcW w:w="1675" w:type="dxa"/>
            <w:gridSpan w:val="2"/>
            <w:tcBorders>
              <w:top w:val="single" w:sz="4" w:space="0" w:color="auto"/>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b/>
                <w:bCs/>
                <w:color w:val="000000"/>
                <w:kern w:val="0"/>
                <w:sz w:val="22"/>
              </w:rPr>
            </w:pPr>
            <w:r>
              <w:rPr>
                <w:rFonts w:ascii="Calibri" w:eastAsia="宋体" w:hAnsi="Calibri" w:cs="宋体"/>
                <w:b/>
                <w:bCs/>
                <w:color w:val="000000"/>
                <w:kern w:val="0"/>
                <w:sz w:val="22"/>
              </w:rPr>
              <w:t>Company B</w:t>
            </w:r>
          </w:p>
        </w:tc>
      </w:tr>
      <w:tr w:rsidR="006D21D6">
        <w:trPr>
          <w:trHeight w:val="300"/>
        </w:trPr>
        <w:tc>
          <w:tcPr>
            <w:tcW w:w="5321" w:type="dxa"/>
            <w:tcBorders>
              <w:top w:val="nil"/>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b/>
                <w:bCs/>
                <w:color w:val="000000"/>
                <w:kern w:val="0"/>
                <w:sz w:val="22"/>
              </w:rPr>
            </w:pPr>
            <w:r>
              <w:rPr>
                <w:rFonts w:ascii="Calibri" w:eastAsia="宋体" w:hAnsi="Calibri" w:cs="宋体"/>
                <w:b/>
                <w:bCs/>
                <w:color w:val="000000"/>
                <w:kern w:val="0"/>
                <w:sz w:val="22"/>
              </w:rPr>
              <w:t>Total asset turnover (sales/total assets)</w:t>
            </w:r>
          </w:p>
        </w:tc>
        <w:tc>
          <w:tcPr>
            <w:tcW w:w="1012"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120/170</w:t>
            </w:r>
          </w:p>
        </w:tc>
        <w:tc>
          <w:tcPr>
            <w:tcW w:w="607"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1.71</w:t>
            </w:r>
          </w:p>
        </w:tc>
        <w:tc>
          <w:tcPr>
            <w:tcW w:w="1012"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300/140</w:t>
            </w:r>
          </w:p>
        </w:tc>
        <w:tc>
          <w:tcPr>
            <w:tcW w:w="663"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2.14</w:t>
            </w:r>
          </w:p>
        </w:tc>
      </w:tr>
      <w:tr w:rsidR="006D21D6">
        <w:trPr>
          <w:trHeight w:val="300"/>
        </w:trPr>
        <w:tc>
          <w:tcPr>
            <w:tcW w:w="861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color w:val="000000"/>
                <w:kern w:val="0"/>
                <w:sz w:val="22"/>
              </w:rPr>
            </w:pPr>
            <w:r>
              <w:rPr>
                <w:rFonts w:ascii="Calibri" w:eastAsia="宋体" w:hAnsi="Calibri" w:cs="宋体"/>
                <w:color w:val="000000"/>
                <w:kern w:val="0"/>
                <w:sz w:val="22"/>
              </w:rPr>
              <w:t>Company A has a lower total asset turnover, not higher</w:t>
            </w:r>
          </w:p>
        </w:tc>
      </w:tr>
      <w:tr w:rsidR="006D21D6">
        <w:trPr>
          <w:trHeight w:val="300"/>
        </w:trPr>
        <w:tc>
          <w:tcPr>
            <w:tcW w:w="5321" w:type="dxa"/>
            <w:tcBorders>
              <w:top w:val="nil"/>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b/>
                <w:bCs/>
                <w:color w:val="000000"/>
                <w:kern w:val="0"/>
                <w:sz w:val="22"/>
              </w:rPr>
            </w:pPr>
            <w:r>
              <w:rPr>
                <w:rFonts w:ascii="Calibri" w:eastAsia="宋体" w:hAnsi="Calibri" w:cs="宋体"/>
                <w:b/>
                <w:bCs/>
                <w:color w:val="000000"/>
                <w:kern w:val="0"/>
                <w:sz w:val="22"/>
              </w:rPr>
              <w:t xml:space="preserve">Equity (total assets </w:t>
            </w:r>
            <w:r>
              <w:rPr>
                <w:rFonts w:ascii="Calibri" w:eastAsia="宋体" w:hAnsi="Calibri" w:cs="宋体"/>
                <w:b/>
                <w:bCs/>
                <w:color w:val="000000"/>
                <w:kern w:val="0"/>
                <w:sz w:val="22"/>
              </w:rPr>
              <w:t>– total liabilities)</w:t>
            </w:r>
          </w:p>
        </w:tc>
        <w:tc>
          <w:tcPr>
            <w:tcW w:w="1012"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70-25</w:t>
            </w:r>
          </w:p>
        </w:tc>
        <w:tc>
          <w:tcPr>
            <w:tcW w:w="607"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 xml:space="preserve">$45 </w:t>
            </w:r>
          </w:p>
        </w:tc>
        <w:tc>
          <w:tcPr>
            <w:tcW w:w="1012"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140-40</w:t>
            </w:r>
          </w:p>
        </w:tc>
        <w:tc>
          <w:tcPr>
            <w:tcW w:w="663"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 xml:space="preserve">$100 </w:t>
            </w:r>
          </w:p>
        </w:tc>
      </w:tr>
      <w:tr w:rsidR="006D21D6">
        <w:trPr>
          <w:trHeight w:val="300"/>
        </w:trPr>
        <w:tc>
          <w:tcPr>
            <w:tcW w:w="5321" w:type="dxa"/>
            <w:tcBorders>
              <w:top w:val="nil"/>
              <w:left w:val="single" w:sz="4" w:space="0" w:color="auto"/>
              <w:bottom w:val="single" w:sz="4" w:space="0" w:color="auto"/>
              <w:right w:val="single" w:sz="4" w:space="0" w:color="auto"/>
            </w:tcBorders>
            <w:shd w:val="clear" w:color="auto" w:fill="auto"/>
            <w:vAlign w:val="center"/>
          </w:tcPr>
          <w:p w:rsidR="006D21D6" w:rsidRDefault="00470A01">
            <w:pPr>
              <w:widowControl/>
              <w:jc w:val="left"/>
              <w:rPr>
                <w:rFonts w:ascii="Calibri" w:eastAsia="宋体" w:hAnsi="Calibri" w:cs="宋体"/>
                <w:b/>
                <w:bCs/>
                <w:color w:val="000000"/>
                <w:kern w:val="0"/>
                <w:sz w:val="22"/>
              </w:rPr>
            </w:pPr>
            <w:r>
              <w:rPr>
                <w:rFonts w:ascii="Calibri" w:eastAsia="宋体" w:hAnsi="Calibri" w:cs="宋体"/>
                <w:b/>
                <w:bCs/>
                <w:color w:val="000000"/>
                <w:kern w:val="0"/>
                <w:sz w:val="22"/>
              </w:rPr>
              <w:t>Financial leverage multiplier (assets/equity)</w:t>
            </w:r>
          </w:p>
        </w:tc>
        <w:tc>
          <w:tcPr>
            <w:tcW w:w="1012"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70/45</w:t>
            </w:r>
          </w:p>
        </w:tc>
        <w:tc>
          <w:tcPr>
            <w:tcW w:w="607"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1.56</w:t>
            </w:r>
          </w:p>
        </w:tc>
        <w:tc>
          <w:tcPr>
            <w:tcW w:w="1012"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140/100</w:t>
            </w:r>
          </w:p>
        </w:tc>
        <w:tc>
          <w:tcPr>
            <w:tcW w:w="663" w:type="dxa"/>
            <w:tcBorders>
              <w:top w:val="nil"/>
              <w:left w:val="nil"/>
              <w:bottom w:val="single" w:sz="4" w:space="0" w:color="auto"/>
              <w:right w:val="single" w:sz="4" w:space="0" w:color="auto"/>
            </w:tcBorders>
            <w:shd w:val="clear" w:color="auto" w:fill="auto"/>
            <w:vAlign w:val="center"/>
          </w:tcPr>
          <w:p w:rsidR="006D21D6" w:rsidRDefault="00470A01">
            <w:pPr>
              <w:widowControl/>
              <w:jc w:val="center"/>
              <w:rPr>
                <w:rFonts w:ascii="Calibri" w:eastAsia="宋体" w:hAnsi="Calibri" w:cs="宋体"/>
                <w:color w:val="000000"/>
                <w:kern w:val="0"/>
                <w:sz w:val="22"/>
              </w:rPr>
            </w:pPr>
            <w:r>
              <w:rPr>
                <w:rFonts w:ascii="Calibri" w:eastAsia="宋体" w:hAnsi="Calibri" w:cs="宋体"/>
                <w:color w:val="000000"/>
                <w:kern w:val="0"/>
                <w:sz w:val="22"/>
              </w:rPr>
              <w:t>1.4</w:t>
            </w:r>
          </w:p>
        </w:tc>
      </w:tr>
    </w:tbl>
    <w:p w:rsidR="006D21D6" w:rsidRDefault="006D21D6">
      <w:pPr>
        <w:autoSpaceDE w:val="0"/>
        <w:autoSpaceDN w:val="0"/>
        <w:adjustRightInd w:val="0"/>
        <w:ind w:leftChars="135" w:left="283"/>
        <w:rPr>
          <w:rFonts w:cs="Calibri"/>
          <w:color w:val="000000"/>
          <w:kern w:val="0"/>
          <w:sz w:val="23"/>
          <w:szCs w:val="23"/>
        </w:rPr>
      </w:pPr>
    </w:p>
    <w:p w:rsidR="006D21D6" w:rsidRDefault="006D21D6">
      <w:pPr>
        <w:autoSpaceDE w:val="0"/>
        <w:autoSpaceDN w:val="0"/>
        <w:adjustRightInd w:val="0"/>
        <w:ind w:leftChars="135" w:left="283"/>
        <w:rPr>
          <w:rFonts w:cs="Calibri"/>
          <w:color w:val="000000"/>
          <w:kern w:val="0"/>
          <w:sz w:val="23"/>
          <w:szCs w:val="23"/>
        </w:rPr>
      </w:pPr>
    </w:p>
    <w:p w:rsidR="006D21D6" w:rsidRDefault="00067E9F">
      <w:pPr>
        <w:autoSpaceDE w:val="0"/>
        <w:autoSpaceDN w:val="0"/>
        <w:adjustRightInd w:val="0"/>
        <w:ind w:leftChars="135" w:left="283"/>
        <w:rPr>
          <w:rFonts w:cs="Calibri"/>
          <w:color w:val="000000"/>
          <w:kern w:val="0"/>
          <w:sz w:val="23"/>
          <w:szCs w:val="23"/>
        </w:rPr>
      </w:pPr>
      <w:r w:rsidRPr="00067E9F">
        <w:rPr>
          <w:rFonts w:cs="Calibri"/>
          <w:color w:val="000000"/>
          <w:kern w:val="0"/>
          <w:sz w:val="23"/>
          <w:szCs w:val="23"/>
        </w:rPr>
        <w:drawing>
          <wp:anchor distT="0" distB="0" distL="114300" distR="114300" simplePos="0" relativeHeight="251695616" behindDoc="0" locked="0" layoutInCell="1" allowOverlap="1" wp14:anchorId="56BD04E3" wp14:editId="2C714D5C">
            <wp:simplePos x="0" y="0"/>
            <wp:positionH relativeFrom="column">
              <wp:posOffset>5146040</wp:posOffset>
            </wp:positionH>
            <wp:positionV relativeFrom="paragraph">
              <wp:posOffset>399122</wp:posOffset>
            </wp:positionV>
            <wp:extent cx="1217295" cy="1160145"/>
            <wp:effectExtent l="0" t="0" r="1905" b="1905"/>
            <wp:wrapNone/>
            <wp:docPr id="11" name="图片 1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stretch>
                      <a:fillRect/>
                    </a:stretch>
                  </pic:blipFill>
                  <pic:spPr>
                    <a:xfrm>
                      <a:off x="0" y="0"/>
                      <a:ext cx="1217295" cy="1160145"/>
                    </a:xfrm>
                    <a:prstGeom prst="rect">
                      <a:avLst/>
                    </a:prstGeom>
                  </pic:spPr>
                </pic:pic>
              </a:graphicData>
            </a:graphic>
          </wp:anchor>
        </w:drawing>
      </w:r>
    </w:p>
    <w:sectPr w:rsidR="006D21D6">
      <w:headerReference w:type="default" r:id="rId12"/>
      <w:footerReference w:type="default" r:id="rId13"/>
      <w:pgSz w:w="11906" w:h="16838"/>
      <w:pgMar w:top="1440" w:right="1274" w:bottom="1276" w:left="1134" w:header="851" w:footer="61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A01" w:rsidRDefault="00470A01">
      <w:r>
        <w:separator/>
      </w:r>
    </w:p>
  </w:endnote>
  <w:endnote w:type="continuationSeparator" w:id="0">
    <w:p w:rsidR="00470A01" w:rsidRDefault="0047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1D6" w:rsidRDefault="00470A01">
    <w:pPr>
      <w:pStyle w:val="a5"/>
      <w:pBdr>
        <w:top w:val="single" w:sz="4" w:space="1" w:color="A5A5A5" w:themeColor="background1" w:themeShade="A5"/>
      </w:pBdr>
      <w:wordWrap w:val="0"/>
      <w:jc w:val="right"/>
      <w:rPr>
        <w:color w:val="7F7F7F" w:themeColor="background1" w:themeShade="7F"/>
      </w:rPr>
    </w:pPr>
    <w:r>
      <w:rPr>
        <w:color w:val="7F7F7F" w:themeColor="background1" w:themeShade="7F"/>
      </w:rPr>
      <w:pict>
        <v:shapetype id="_x0000_t202" coordsize="21600,21600" o:spt="202" path="m,l,21600r21600,l21600,xe">
          <v:stroke joinstyle="miter"/>
          <v:path gradientshapeok="t" o:connecttype="rect"/>
        </v:shapetype>
        <v:shape id="_x0000_s2064" type="#_x0000_t202" style="position:absolute;left:0;text-align:left;margin-left:433.15pt;margin-top:-16.65pt;width:41.3pt;height:18.25pt;z-index:251697152;mso-width-relative:page;mso-height-relative:page" filled="f" stroked="f">
          <v:textbox inset=",0,,0">
            <w:txbxContent>
              <w:p w:rsidR="006D21D6" w:rsidRDefault="00470A01">
                <w:pPr>
                  <w:jc w:val="center"/>
                  <w:rPr>
                    <w:color w:val="4F81BD" w:themeColor="accent1"/>
                  </w:rPr>
                </w:pPr>
                <w:r>
                  <w:rPr>
                    <w:rFonts w:hint="eastAsia"/>
                  </w:rPr>
                  <w:t>-</w:t>
                </w:r>
                <w:r>
                  <w:fldChar w:fldCharType="begin"/>
                </w:r>
                <w:r>
                  <w:instrText xml:space="preserve"> PAGE   \* MERGEFORMAT </w:instrText>
                </w:r>
                <w:r>
                  <w:fldChar w:fldCharType="separate"/>
                </w:r>
                <w:r w:rsidR="00067E9F" w:rsidRPr="00067E9F">
                  <w:rPr>
                    <w:noProof/>
                    <w:lang w:val="zh-CN"/>
                  </w:rPr>
                  <w:t>4</w:t>
                </w:r>
                <w:r>
                  <w:rPr>
                    <w:lang w:val="zh-CN"/>
                  </w:rPr>
                  <w:fldChar w:fldCharType="end"/>
                </w:r>
                <w:r>
                  <w:rPr>
                    <w:rFonts w:hint="eastAsia"/>
                  </w:rPr>
                  <w:t>-</w:t>
                </w:r>
              </w:p>
            </w:txbxContent>
          </v:textbox>
        </v:shape>
      </w:pict>
    </w:r>
    <w:sdt>
      <w:sdtPr>
        <w:alias w:val="公司"/>
        <w:id w:val="76161118"/>
        <w:placeholder>
          <w:docPart w:val="A0F7A561D771482C9B76A384459B5920"/>
        </w:placeholder>
        <w:dataBinding w:prefixMappings="xmlns:ns0='http://schemas.openxmlformats.org/officeDocument/2006/extended-properties'" w:xpath="/ns0:Properties[1]/ns0:Company[1]" w:storeItemID="{6668398D-A668-4E3E-A5EB-62B293D839F1}"/>
        <w:text/>
      </w:sdtPr>
      <w:sdtEndPr/>
      <w:sdtContent>
        <w:r>
          <w:rPr>
            <w:rFonts w:hint="eastAsia"/>
          </w:rPr>
          <w:t>学服：</w:t>
        </w:r>
        <w:r>
          <w:rPr>
            <w:rFonts w:hint="eastAsia"/>
          </w:rPr>
          <w:t xml:space="preserve">021-51210513  </w:t>
        </w:r>
        <w:r>
          <w:rPr>
            <w:rFonts w:hint="eastAsia"/>
          </w:rPr>
          <w:t>咨询：</w:t>
        </w:r>
        <w:r>
          <w:rPr>
            <w:rFonts w:hint="eastAsia"/>
          </w:rPr>
          <w:t xml:space="preserve">400-600-8011  </w:t>
        </w:r>
        <w:r>
          <w:rPr>
            <w:rFonts w:hint="eastAsia"/>
          </w:rPr>
          <w:t>邮箱：</w:t>
        </w:r>
        <w:r>
          <w:rPr>
            <w:rFonts w:hint="eastAsia"/>
          </w:rPr>
          <w:t xml:space="preserve">cfa@gaodun.cn  </w:t>
        </w:r>
        <w:r>
          <w:rPr>
            <w:rFonts w:hint="eastAsia"/>
          </w:rPr>
          <w:t>网站：</w:t>
        </w:r>
        <w:r>
          <w:rPr>
            <w:rFonts w:hint="eastAsia"/>
          </w:rPr>
          <w:t>cfa.gaodun.cn</w:t>
        </w:r>
      </w:sdtContent>
    </w:sdt>
    <w:r>
      <w:rPr>
        <w:color w:val="7F7F7F" w:themeColor="background1" w:themeShade="7F"/>
        <w:lang w:val="zh-CN"/>
      </w:rPr>
      <w:t>|</w:t>
    </w:r>
    <w:sdt>
      <w:sdtPr>
        <w:rPr>
          <w:b/>
        </w:rPr>
        <w:alias w:val="地址"/>
        <w:id w:val="76161122"/>
        <w:placeholder>
          <w:docPart w:val="1E11AA381CAA41E7AE1E8A726AB6049E"/>
        </w:placeholder>
        <w:dataBinding w:prefixMappings="xmlns:ns0='http://schemas.microsoft.com/office/2006/coverPageProps'" w:xpath="/ns0:CoverPageProperties[1]/ns0:CompanyAddress[1]" w:storeItemID="{55AF091B-3C7A-41E3-B477-F2FDAA23CFDA}"/>
        <w:text w:multiLine="1"/>
      </w:sdtPr>
      <w:sdtEndPr/>
      <w:sdtContent>
        <w:r>
          <w:rPr>
            <w:rFonts w:hint="eastAsia"/>
            <w:b/>
          </w:rPr>
          <w:t>高顿财经</w:t>
        </w:r>
        <w:r>
          <w:rPr>
            <w:rFonts w:hint="eastAsia"/>
            <w:b/>
          </w:rPr>
          <w:t xml:space="preserve">  </w:t>
        </w:r>
      </w:sdtContent>
    </w:sdt>
  </w:p>
  <w:p w:rsidR="006D21D6" w:rsidRDefault="006D21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A01" w:rsidRDefault="00470A01">
      <w:r>
        <w:separator/>
      </w:r>
    </w:p>
  </w:footnote>
  <w:footnote w:type="continuationSeparator" w:id="0">
    <w:p w:rsidR="00470A01" w:rsidRDefault="00470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1D6" w:rsidRDefault="00470A01">
    <w:pPr>
      <w:pStyle w:val="a7"/>
    </w:pPr>
    <w:r>
      <w:pict>
        <v:shapetype id="_x0000_t202" coordsize="21600,21600" o:spt="202" path="m,l,21600r21600,l21600,xe">
          <v:stroke joinstyle="miter"/>
          <v:path gradientshapeok="t" o:connecttype="rect"/>
        </v:shapetype>
        <v:shape id="_x0000_s2065" type="#_x0000_t202" style="position:absolute;left:0;text-align:left;margin-left:353.65pt;margin-top:-19.15pt;width:162.9pt;height:40.5pt;z-index:251781120;mso-width-relative:page;mso-height-relative:page" filled="f" stroked="f">
          <v:textbox>
            <w:txbxContent>
              <w:p w:rsidR="006D21D6" w:rsidRDefault="00470A01">
                <w:pPr>
                  <w:jc w:val="center"/>
                  <w:rPr>
                    <w:rFonts w:ascii="黑体" w:eastAsia="黑体"/>
                    <w:sz w:val="24"/>
                    <w:szCs w:val="24"/>
                  </w:rPr>
                </w:pPr>
                <w:r>
                  <w:rPr>
                    <w:rFonts w:ascii="黑体" w:eastAsia="黑体" w:hint="eastAsia"/>
                    <w:sz w:val="24"/>
                    <w:szCs w:val="24"/>
                  </w:rPr>
                  <w:t>财经学习，只在高顿</w:t>
                </w:r>
                <w:r>
                  <w:rPr>
                    <w:rFonts w:ascii="黑体" w:eastAsia="黑体"/>
                    <w:sz w:val="24"/>
                    <w:szCs w:val="24"/>
                  </w:rPr>
                  <w:t>http://</w:t>
                </w:r>
                <w:r>
                  <w:rPr>
                    <w:rFonts w:ascii="黑体" w:eastAsia="黑体" w:hint="eastAsia"/>
                    <w:sz w:val="24"/>
                    <w:szCs w:val="24"/>
                  </w:rPr>
                  <w:t>finance</w:t>
                </w:r>
                <w:r>
                  <w:rPr>
                    <w:rFonts w:ascii="黑体" w:eastAsia="黑体" w:hint="eastAsia"/>
                    <w:sz w:val="24"/>
                    <w:szCs w:val="24"/>
                  </w:rPr>
                  <w:t>.</w:t>
                </w:r>
                <w:r>
                  <w:rPr>
                    <w:rFonts w:ascii="黑体" w:eastAsia="黑体"/>
                    <w:sz w:val="24"/>
                    <w:szCs w:val="24"/>
                  </w:rPr>
                  <w:t>gaodun.cn</w:t>
                </w:r>
              </w:p>
              <w:p w:rsidR="006D21D6" w:rsidRDefault="006D21D6">
                <w:pPr>
                  <w:rPr>
                    <w:szCs w:val="24"/>
                  </w:rPr>
                </w:pPr>
              </w:p>
            </w:txbxContent>
          </v:textbox>
        </v:shape>
      </w:pict>
    </w:r>
    <w:r>
      <w:rPr>
        <w:noProof/>
      </w:rPr>
      <w:drawing>
        <wp:anchor distT="0" distB="0" distL="114300" distR="114300" simplePos="0" relativeHeight="251740160" behindDoc="0" locked="0" layoutInCell="1" allowOverlap="1">
          <wp:simplePos x="0" y="0"/>
          <wp:positionH relativeFrom="column">
            <wp:posOffset>-24765</wp:posOffset>
          </wp:positionH>
          <wp:positionV relativeFrom="paragraph">
            <wp:posOffset>-273050</wp:posOffset>
          </wp:positionV>
          <wp:extent cx="1256665" cy="466725"/>
          <wp:effectExtent l="0" t="0" r="635" b="9525"/>
          <wp:wrapSquare wrapText="bothSides"/>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pic:cNvPicPr>
                </pic:nvPicPr>
                <pic:blipFill>
                  <a:blip r:embed="rId1"/>
                  <a:srcRect r="62617"/>
                  <a:stretch>
                    <a:fillRect/>
                  </a:stretch>
                </pic:blipFill>
                <pic:spPr>
                  <a:xfrm>
                    <a:off x="0" y="0"/>
                    <a:ext cx="1256665" cy="466725"/>
                  </a:xfrm>
                  <a:prstGeom prst="rect">
                    <a:avLst/>
                  </a:prstGeom>
                  <a:noFill/>
                  <a:ln w="9525">
                    <a:noFill/>
                  </a:ln>
                </pic:spPr>
              </pic:pic>
            </a:graphicData>
          </a:graphic>
        </wp:anchor>
      </w:drawing>
    </w:r>
  </w:p>
  <w:p w:rsidR="006D21D6" w:rsidRDefault="006D21D6">
    <w:pPr>
      <w:pStyle w:val="a7"/>
    </w:pPr>
  </w:p>
  <w:p w:rsidR="006D21D6" w:rsidRDefault="006D21D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C2843"/>
    <w:multiLevelType w:val="multilevel"/>
    <w:tmpl w:val="651C2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0F7E"/>
    <w:rsid w:val="000130EA"/>
    <w:rsid w:val="0001601D"/>
    <w:rsid w:val="000262EB"/>
    <w:rsid w:val="00037E10"/>
    <w:rsid w:val="00052397"/>
    <w:rsid w:val="00054C8F"/>
    <w:rsid w:val="00067E9F"/>
    <w:rsid w:val="00091008"/>
    <w:rsid w:val="000A1E27"/>
    <w:rsid w:val="000A2A84"/>
    <w:rsid w:val="000A3366"/>
    <w:rsid w:val="000D7F25"/>
    <w:rsid w:val="000E3572"/>
    <w:rsid w:val="001009FA"/>
    <w:rsid w:val="0010524B"/>
    <w:rsid w:val="0010549D"/>
    <w:rsid w:val="001155AF"/>
    <w:rsid w:val="00147C27"/>
    <w:rsid w:val="00155673"/>
    <w:rsid w:val="00155D10"/>
    <w:rsid w:val="00161A2A"/>
    <w:rsid w:val="001648F3"/>
    <w:rsid w:val="00167324"/>
    <w:rsid w:val="00173B45"/>
    <w:rsid w:val="0018274C"/>
    <w:rsid w:val="0020202A"/>
    <w:rsid w:val="00213462"/>
    <w:rsid w:val="0022002D"/>
    <w:rsid w:val="002321F0"/>
    <w:rsid w:val="0024708A"/>
    <w:rsid w:val="00266456"/>
    <w:rsid w:val="002917E0"/>
    <w:rsid w:val="00295F0F"/>
    <w:rsid w:val="002A0521"/>
    <w:rsid w:val="002A53CD"/>
    <w:rsid w:val="002A64A6"/>
    <w:rsid w:val="002A6CE6"/>
    <w:rsid w:val="002B1AF5"/>
    <w:rsid w:val="002B3BA1"/>
    <w:rsid w:val="002C4D66"/>
    <w:rsid w:val="002C64E8"/>
    <w:rsid w:val="002C6CB5"/>
    <w:rsid w:val="002F1EB3"/>
    <w:rsid w:val="00305025"/>
    <w:rsid w:val="00316383"/>
    <w:rsid w:val="00317D92"/>
    <w:rsid w:val="00355DB3"/>
    <w:rsid w:val="0037727E"/>
    <w:rsid w:val="00384737"/>
    <w:rsid w:val="00393265"/>
    <w:rsid w:val="00394AB3"/>
    <w:rsid w:val="003B619C"/>
    <w:rsid w:val="003C3375"/>
    <w:rsid w:val="003F1884"/>
    <w:rsid w:val="00400D37"/>
    <w:rsid w:val="00424062"/>
    <w:rsid w:val="00440193"/>
    <w:rsid w:val="0045727A"/>
    <w:rsid w:val="00470A01"/>
    <w:rsid w:val="004A651D"/>
    <w:rsid w:val="004B499E"/>
    <w:rsid w:val="004E4F1C"/>
    <w:rsid w:val="004F6C7E"/>
    <w:rsid w:val="0050317A"/>
    <w:rsid w:val="00504FBF"/>
    <w:rsid w:val="00520FA3"/>
    <w:rsid w:val="00532306"/>
    <w:rsid w:val="00532964"/>
    <w:rsid w:val="00552B8A"/>
    <w:rsid w:val="00557016"/>
    <w:rsid w:val="005B7AC0"/>
    <w:rsid w:val="005C1C2C"/>
    <w:rsid w:val="005C6018"/>
    <w:rsid w:val="005D600B"/>
    <w:rsid w:val="005D7251"/>
    <w:rsid w:val="005E794F"/>
    <w:rsid w:val="005F2AD3"/>
    <w:rsid w:val="0062406A"/>
    <w:rsid w:val="00636ECD"/>
    <w:rsid w:val="0063796F"/>
    <w:rsid w:val="00657A4C"/>
    <w:rsid w:val="006624A5"/>
    <w:rsid w:val="00671102"/>
    <w:rsid w:val="00681049"/>
    <w:rsid w:val="006B5FD4"/>
    <w:rsid w:val="006C1393"/>
    <w:rsid w:val="006C4E3C"/>
    <w:rsid w:val="006D21D6"/>
    <w:rsid w:val="006E091E"/>
    <w:rsid w:val="006E30B8"/>
    <w:rsid w:val="006F5EC3"/>
    <w:rsid w:val="007002F0"/>
    <w:rsid w:val="00707B07"/>
    <w:rsid w:val="00716B0A"/>
    <w:rsid w:val="00721C28"/>
    <w:rsid w:val="007A3678"/>
    <w:rsid w:val="007D7C12"/>
    <w:rsid w:val="007F7C48"/>
    <w:rsid w:val="00830ACD"/>
    <w:rsid w:val="00836D4D"/>
    <w:rsid w:val="00847075"/>
    <w:rsid w:val="008D1EF9"/>
    <w:rsid w:val="008E1AC5"/>
    <w:rsid w:val="00905717"/>
    <w:rsid w:val="00905D22"/>
    <w:rsid w:val="00941CE6"/>
    <w:rsid w:val="00944F68"/>
    <w:rsid w:val="009530C8"/>
    <w:rsid w:val="00955E03"/>
    <w:rsid w:val="00966799"/>
    <w:rsid w:val="00972EF0"/>
    <w:rsid w:val="00990A50"/>
    <w:rsid w:val="00993027"/>
    <w:rsid w:val="00997BEA"/>
    <w:rsid w:val="009B4DAA"/>
    <w:rsid w:val="009C34AC"/>
    <w:rsid w:val="00A2731A"/>
    <w:rsid w:val="00A46DD5"/>
    <w:rsid w:val="00A53659"/>
    <w:rsid w:val="00A6392C"/>
    <w:rsid w:val="00A71E63"/>
    <w:rsid w:val="00A74FA3"/>
    <w:rsid w:val="00A96887"/>
    <w:rsid w:val="00AA194E"/>
    <w:rsid w:val="00AA4D17"/>
    <w:rsid w:val="00AB3F46"/>
    <w:rsid w:val="00AC52D6"/>
    <w:rsid w:val="00AC5B4A"/>
    <w:rsid w:val="00AD0F7E"/>
    <w:rsid w:val="00AD15A5"/>
    <w:rsid w:val="00AD2FAE"/>
    <w:rsid w:val="00B11704"/>
    <w:rsid w:val="00B17FA7"/>
    <w:rsid w:val="00B55718"/>
    <w:rsid w:val="00B558BA"/>
    <w:rsid w:val="00B748CA"/>
    <w:rsid w:val="00B958A5"/>
    <w:rsid w:val="00BA7D68"/>
    <w:rsid w:val="00C2540C"/>
    <w:rsid w:val="00C5052D"/>
    <w:rsid w:val="00C74A3A"/>
    <w:rsid w:val="00C8087F"/>
    <w:rsid w:val="00C93145"/>
    <w:rsid w:val="00CC62A7"/>
    <w:rsid w:val="00CE318F"/>
    <w:rsid w:val="00CF3312"/>
    <w:rsid w:val="00CF6757"/>
    <w:rsid w:val="00D02641"/>
    <w:rsid w:val="00D02A48"/>
    <w:rsid w:val="00D02B2A"/>
    <w:rsid w:val="00D05BCC"/>
    <w:rsid w:val="00D656B4"/>
    <w:rsid w:val="00D829F0"/>
    <w:rsid w:val="00D857DA"/>
    <w:rsid w:val="00D95F27"/>
    <w:rsid w:val="00DC0648"/>
    <w:rsid w:val="00DC48E9"/>
    <w:rsid w:val="00E048CD"/>
    <w:rsid w:val="00E05F53"/>
    <w:rsid w:val="00E42802"/>
    <w:rsid w:val="00E46E35"/>
    <w:rsid w:val="00E83613"/>
    <w:rsid w:val="00E93903"/>
    <w:rsid w:val="00EA27EB"/>
    <w:rsid w:val="00EB28E2"/>
    <w:rsid w:val="00EC1B24"/>
    <w:rsid w:val="00EF6E91"/>
    <w:rsid w:val="00F01A14"/>
    <w:rsid w:val="00F17F9C"/>
    <w:rsid w:val="00F40137"/>
    <w:rsid w:val="00F44116"/>
    <w:rsid w:val="00F4640C"/>
    <w:rsid w:val="00F57797"/>
    <w:rsid w:val="00F9628F"/>
    <w:rsid w:val="00FA17FD"/>
    <w:rsid w:val="00FA1C39"/>
    <w:rsid w:val="00FC1727"/>
    <w:rsid w:val="00FD55EC"/>
    <w:rsid w:val="603D32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78004A11-F368-4EB6-87DD-0A792EE8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paragraph" w:customStyle="1" w:styleId="1">
    <w:name w:val="无间隔1"/>
    <w:link w:val="Char"/>
    <w:uiPriority w:val="1"/>
    <w:qFormat/>
    <w:rPr>
      <w:sz w:val="22"/>
      <w:szCs w:val="22"/>
    </w:rPr>
  </w:style>
  <w:style w:type="character" w:customStyle="1" w:styleId="Char">
    <w:name w:val="无间隔 Char"/>
    <w:basedOn w:val="a0"/>
    <w:link w:val="1"/>
    <w:uiPriority w:val="1"/>
    <w:rPr>
      <w:kern w:val="0"/>
      <w:sz w:val="22"/>
    </w:rPr>
  </w:style>
  <w:style w:type="paragraph" w:customStyle="1" w:styleId="10">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F7A561D771482C9B76A384459B5920"/>
        <w:category>
          <w:name w:val="常规"/>
          <w:gallery w:val="placeholder"/>
        </w:category>
        <w:types>
          <w:type w:val="bbPlcHdr"/>
        </w:types>
        <w:behaviors>
          <w:behavior w:val="content"/>
        </w:behaviors>
        <w:guid w:val="{F03A6B21-3094-4544-9725-81C794BE795E}"/>
      </w:docPartPr>
      <w:docPartBody>
        <w:p w:rsidR="00344EF7" w:rsidRDefault="00684474">
          <w:pPr>
            <w:pStyle w:val="A0F7A561D771482C9B76A384459B5920"/>
          </w:pPr>
          <w:r>
            <w:rPr>
              <w:color w:val="7F7F7F" w:themeColor="background1" w:themeShade="7F"/>
              <w:lang w:val="zh-CN"/>
            </w:rPr>
            <w:t>[</w:t>
          </w:r>
          <w:r>
            <w:rPr>
              <w:color w:val="7F7F7F" w:themeColor="background1" w:themeShade="7F"/>
              <w:lang w:val="zh-CN"/>
            </w:rPr>
            <w:t>键入公司名称</w:t>
          </w:r>
          <w:r>
            <w:rPr>
              <w:color w:val="7F7F7F" w:themeColor="background1" w:themeShade="7F"/>
              <w:lang w:val="zh-CN"/>
            </w:rPr>
            <w:t>]</w:t>
          </w:r>
        </w:p>
      </w:docPartBody>
    </w:docPart>
    <w:docPart>
      <w:docPartPr>
        <w:name w:val="1E11AA381CAA41E7AE1E8A726AB6049E"/>
        <w:category>
          <w:name w:val="常规"/>
          <w:gallery w:val="placeholder"/>
        </w:category>
        <w:types>
          <w:type w:val="bbPlcHdr"/>
        </w:types>
        <w:behaviors>
          <w:behavior w:val="content"/>
        </w:behaviors>
        <w:guid w:val="{580CC2FD-04ED-4E7B-80CC-54DC307B713A}"/>
      </w:docPartPr>
      <w:docPartBody>
        <w:p w:rsidR="00344EF7" w:rsidRDefault="00684474">
          <w:pPr>
            <w:pStyle w:val="1E11AA381CAA41E7AE1E8A726AB6049E"/>
          </w:pPr>
          <w:r>
            <w:rPr>
              <w:color w:val="7F7F7F" w:themeColor="background1" w:themeShade="7F"/>
              <w:lang w:val="zh-CN"/>
            </w:rPr>
            <w:t>[</w:t>
          </w:r>
          <w:r>
            <w:rPr>
              <w:color w:val="7F7F7F" w:themeColor="background1" w:themeShade="7F"/>
              <w:lang w:val="zh-CN"/>
            </w:rPr>
            <w:t>键入公司地址</w:t>
          </w:r>
          <w:r>
            <w:rPr>
              <w:color w:val="7F7F7F" w:themeColor="background1" w:themeShade="7F"/>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0159"/>
    <w:rsid w:val="00063885"/>
    <w:rsid w:val="000A6697"/>
    <w:rsid w:val="00243F8D"/>
    <w:rsid w:val="0024698F"/>
    <w:rsid w:val="00247749"/>
    <w:rsid w:val="00337E4C"/>
    <w:rsid w:val="00344EF7"/>
    <w:rsid w:val="00472ACF"/>
    <w:rsid w:val="00621421"/>
    <w:rsid w:val="00684474"/>
    <w:rsid w:val="00722E6E"/>
    <w:rsid w:val="00844A8C"/>
    <w:rsid w:val="00981F89"/>
    <w:rsid w:val="00AA6952"/>
    <w:rsid w:val="00B24304"/>
    <w:rsid w:val="00B31EC9"/>
    <w:rsid w:val="00B54BAA"/>
    <w:rsid w:val="00CA03AF"/>
    <w:rsid w:val="00D23D08"/>
    <w:rsid w:val="00D60159"/>
    <w:rsid w:val="00D96F90"/>
    <w:rsid w:val="00DA10E1"/>
    <w:rsid w:val="00FF75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6F1C1839E44C66B650A56F8643A3DF">
    <w:name w:val="006F1C1839E44C66B650A56F8643A3DF"/>
    <w:pPr>
      <w:widowControl w:val="0"/>
      <w:jc w:val="both"/>
    </w:pPr>
    <w:rPr>
      <w:kern w:val="2"/>
      <w:sz w:val="21"/>
      <w:szCs w:val="22"/>
    </w:rPr>
  </w:style>
  <w:style w:type="paragraph" w:customStyle="1" w:styleId="0D300E8BC8884EBD8A80321A78A0764F">
    <w:name w:val="0D300E8BC8884EBD8A80321A78A0764F"/>
    <w:pPr>
      <w:widowControl w:val="0"/>
      <w:jc w:val="both"/>
    </w:pPr>
    <w:rPr>
      <w:kern w:val="2"/>
      <w:sz w:val="21"/>
      <w:szCs w:val="22"/>
    </w:rPr>
  </w:style>
  <w:style w:type="paragraph" w:customStyle="1" w:styleId="A0F7A561D771482C9B76A384459B5920">
    <w:name w:val="A0F7A561D771482C9B76A384459B5920"/>
    <w:pPr>
      <w:widowControl w:val="0"/>
      <w:jc w:val="both"/>
    </w:pPr>
    <w:rPr>
      <w:kern w:val="2"/>
      <w:sz w:val="21"/>
      <w:szCs w:val="22"/>
    </w:rPr>
  </w:style>
  <w:style w:type="paragraph" w:customStyle="1" w:styleId="1E11AA381CAA41E7AE1E8A726AB6049E">
    <w:name w:val="1E11AA381CAA41E7AE1E8A726AB6049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高顿财经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65"/>
    <customShpInfo spid="_x0000_s2064"/>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23DE350-49F8-4A45-A77C-BFB59D29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1187</Words>
  <Characters>6769</Characters>
  <Application>Microsoft Office Word</Application>
  <DocSecurity>0</DocSecurity>
  <Lines>56</Lines>
  <Paragraphs>15</Paragraphs>
  <ScaleCrop>false</ScaleCrop>
  <Company>学服：021-51210513  咨询：400-600-8011  邮箱：cfa@gaodun.cn  网站：cfa.gaodun.cn</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brooke</dc:creator>
  <cp:lastModifiedBy>梁文伯</cp:lastModifiedBy>
  <cp:revision>43</cp:revision>
  <cp:lastPrinted>2018-01-22T05:23:00Z</cp:lastPrinted>
  <dcterms:created xsi:type="dcterms:W3CDTF">2014-07-23T09:36:00Z</dcterms:created>
  <dcterms:modified xsi:type="dcterms:W3CDTF">2018-01-22T05:27:00Z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