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1A0" w:rsidRDefault="00C73F4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Portfolio Management</w:t>
      </w:r>
    </w:p>
    <w:p w:rsidR="003271A0" w:rsidRDefault="00C73F41">
      <w:pPr>
        <w:autoSpaceDE w:val="0"/>
        <w:autoSpaceDN w:val="0"/>
        <w:adjustRightInd w:val="0"/>
        <w:spacing w:before="24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1.</w:t>
      </w:r>
      <w:r>
        <w:rPr>
          <w:sz w:val="23"/>
          <w:szCs w:val="23"/>
        </w:rPr>
        <w:t>In general, which of the following institutions will most likely have a high need for liquidity and a short investment time horizon?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A. Banks</w:t>
      </w:r>
    </w:p>
    <w:p w:rsidR="003271A0" w:rsidRDefault="00446C66">
      <w:pPr>
        <w:autoSpaceDE w:val="0"/>
        <w:autoSpaceDN w:val="0"/>
        <w:adjustRightInd w:val="0"/>
        <w:jc w:val="left"/>
        <w:rPr>
          <w:sz w:val="23"/>
          <w:szCs w:val="23"/>
        </w:rPr>
      </w:pPr>
      <w:r w:rsidRPr="00446C66">
        <w:rPr>
          <w:rFonts w:ascii="Calibri" w:hAnsi="Calibri" w:cs="Calibri"/>
          <w:color w:val="000000"/>
          <w:kern w:val="0"/>
          <w:sz w:val="22"/>
        </w:rPr>
        <w:drawing>
          <wp:anchor distT="0" distB="0" distL="114300" distR="114300" simplePos="0" relativeHeight="251636224" behindDoc="0" locked="0" layoutInCell="1" allowOverlap="1" wp14:anchorId="6444BF59" wp14:editId="3C6DAB86">
            <wp:simplePos x="0" y="0"/>
            <wp:positionH relativeFrom="column">
              <wp:posOffset>4586068</wp:posOffset>
            </wp:positionH>
            <wp:positionV relativeFrom="paragraph">
              <wp:posOffset>32239</wp:posOffset>
            </wp:positionV>
            <wp:extent cx="1293495" cy="1233805"/>
            <wp:effectExtent l="0" t="0" r="1905" b="4445"/>
            <wp:wrapNone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3F41">
        <w:rPr>
          <w:sz w:val="23"/>
          <w:szCs w:val="23"/>
        </w:rPr>
        <w:t>B. Endowments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C. </w:t>
      </w:r>
      <w:r>
        <w:rPr>
          <w:sz w:val="23"/>
          <w:szCs w:val="23"/>
        </w:rPr>
        <w:t>Defined benefit pension plans</w:t>
      </w:r>
    </w:p>
    <w:p w:rsidR="003271A0" w:rsidRDefault="003271A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b/>
          <w:bCs/>
          <w:color w:val="000000"/>
          <w:kern w:val="0"/>
          <w:sz w:val="22"/>
        </w:rPr>
        <w:t>Answer: A</w:t>
      </w: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 xml:space="preserve">Banks have a </w:t>
      </w:r>
      <w:proofErr w:type="gramStart"/>
      <w:r>
        <w:rPr>
          <w:rFonts w:ascii="Calibri" w:hAnsi="Calibri" w:cs="Calibri"/>
          <w:color w:val="000000"/>
          <w:kern w:val="0"/>
          <w:sz w:val="22"/>
        </w:rPr>
        <w:t>short term</w:t>
      </w:r>
      <w:proofErr w:type="gramEnd"/>
      <w:r>
        <w:rPr>
          <w:rFonts w:ascii="Calibri" w:hAnsi="Calibri" w:cs="Calibri"/>
          <w:color w:val="000000"/>
          <w:kern w:val="0"/>
          <w:sz w:val="22"/>
        </w:rPr>
        <w:t xml:space="preserve"> horizon and high liquidity needs. </w:t>
      </w:r>
    </w:p>
    <w:p w:rsidR="003271A0" w:rsidRDefault="003271A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3271A0" w:rsidRDefault="003271A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2.</w:t>
      </w:r>
      <w:r>
        <w:rPr>
          <w:rFonts w:ascii="Calibri" w:hAnsi="Calibri" w:cs="Calibri"/>
          <w:color w:val="000000"/>
          <w:kern w:val="0"/>
          <w:sz w:val="22"/>
        </w:rPr>
        <w:t>Which of the following is least likely a part of the execution step of the portfolio management process?</w:t>
      </w: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A. Security analysis</w:t>
      </w: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B. Portfolio construction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2"/>
        </w:rPr>
        <w:t>C. Performance measurement</w:t>
      </w: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b/>
          <w:bCs/>
          <w:color w:val="000000"/>
          <w:sz w:val="22"/>
        </w:rPr>
        <w:t xml:space="preserve">Answer: </w:t>
      </w:r>
      <w:r>
        <w:rPr>
          <w:rFonts w:ascii="Calibri" w:hAnsi="Calibri" w:cs="Calibri" w:hint="eastAsia"/>
          <w:b/>
          <w:bCs/>
          <w:color w:val="000000"/>
          <w:sz w:val="22"/>
        </w:rPr>
        <w:t>C</w:t>
      </w: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sz w:val="22"/>
        </w:rPr>
        <w:t xml:space="preserve">Performance measurement is a part of the feedback step of the portfolio management process. The execution step includes asset allocation, security analysis, and portfolio construction. </w:t>
      </w: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3. </w:t>
      </w:r>
      <w:r>
        <w:rPr>
          <w:sz w:val="23"/>
          <w:szCs w:val="23"/>
        </w:rPr>
        <w:t xml:space="preserve">Selected information about </w:t>
      </w:r>
      <w:r>
        <w:rPr>
          <w:sz w:val="23"/>
          <w:szCs w:val="23"/>
        </w:rPr>
        <w:t>shares of two companies is provided below: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Stock Standard Deviation      Correlation of Returns    Portfolio Weights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Cable Incorporated       30%                      0                     68%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GPTA Company          20%              32%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The standard </w:t>
      </w:r>
      <w:r>
        <w:rPr>
          <w:sz w:val="23"/>
          <w:szCs w:val="23"/>
        </w:rPr>
        <w:t>deviation of returns of the portfolio formed with these two stocks is closest to: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A. 25.04%.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B. 26.80%.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C. 32.85%.</w:t>
      </w:r>
    </w:p>
    <w:p w:rsidR="003271A0" w:rsidRDefault="003271A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3271A0" w:rsidRDefault="00C73F41">
      <w:pPr>
        <w:autoSpaceDE w:val="0"/>
        <w:autoSpaceDN w:val="0"/>
        <w:adjustRightInd w:val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Answer: </w:t>
      </w:r>
      <w:r>
        <w:rPr>
          <w:rFonts w:hint="eastAsia"/>
          <w:b/>
          <w:bCs/>
          <w:sz w:val="23"/>
          <w:szCs w:val="23"/>
        </w:rPr>
        <w:t>A</w:t>
      </w: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Portfolio standard deviation =</w:t>
      </w:r>
      <w:proofErr w:type="gramStart"/>
      <w:r>
        <w:rPr>
          <w:rFonts w:cs="Calibri"/>
          <w:color w:val="000000"/>
          <w:kern w:val="0"/>
          <w:sz w:val="22"/>
        </w:rPr>
        <w:t>√</w:t>
      </w:r>
      <w:r>
        <w:rPr>
          <w:rFonts w:cs="Cambria Math"/>
          <w:color w:val="000000"/>
          <w:kern w:val="0"/>
          <w:sz w:val="22"/>
        </w:rPr>
        <w:t>(</w:t>
      </w:r>
      <w:proofErr w:type="gramEnd"/>
      <w:r>
        <w:rPr>
          <w:rFonts w:cs="Cambria Math"/>
          <w:color w:val="000000"/>
          <w:kern w:val="0"/>
          <w:sz w:val="22"/>
        </w:rPr>
        <w:t>0.68</w:t>
      </w:r>
      <w:r>
        <w:rPr>
          <w:rFonts w:cs="Cambria Math"/>
          <w:color w:val="000000"/>
          <w:kern w:val="0"/>
          <w:sz w:val="22"/>
          <w:vertAlign w:val="superscript"/>
        </w:rPr>
        <w:t>2</w:t>
      </w:r>
      <w:r>
        <w:rPr>
          <w:rFonts w:cs="Cambria Math"/>
          <w:color w:val="000000"/>
          <w:kern w:val="0"/>
          <w:sz w:val="22"/>
        </w:rPr>
        <w:t>)(0.3</w:t>
      </w:r>
      <w:r>
        <w:rPr>
          <w:rFonts w:cs="Cambria Math"/>
          <w:color w:val="000000"/>
          <w:kern w:val="0"/>
          <w:sz w:val="22"/>
          <w:vertAlign w:val="superscript"/>
        </w:rPr>
        <w:t>2</w:t>
      </w:r>
      <w:r>
        <w:rPr>
          <w:rFonts w:cs="Cambria Math"/>
          <w:color w:val="000000"/>
          <w:kern w:val="0"/>
          <w:sz w:val="22"/>
        </w:rPr>
        <w:t>)+(0.32</w:t>
      </w:r>
      <w:r>
        <w:rPr>
          <w:rFonts w:cs="Cambria Math"/>
          <w:color w:val="000000"/>
          <w:kern w:val="0"/>
          <w:sz w:val="22"/>
          <w:vertAlign w:val="superscript"/>
        </w:rPr>
        <w:t>2</w:t>
      </w:r>
      <w:r>
        <w:rPr>
          <w:rFonts w:cs="Cambria Math"/>
          <w:color w:val="000000"/>
          <w:kern w:val="0"/>
          <w:sz w:val="22"/>
        </w:rPr>
        <w:t>)(0.2</w:t>
      </w:r>
      <w:r>
        <w:rPr>
          <w:rFonts w:cs="Cambria Math"/>
          <w:color w:val="000000"/>
          <w:kern w:val="0"/>
          <w:sz w:val="22"/>
          <w:vertAlign w:val="superscript"/>
        </w:rPr>
        <w:t>2</w:t>
      </w:r>
      <w:r>
        <w:rPr>
          <w:rFonts w:cs="Cambria Math"/>
          <w:color w:val="000000"/>
          <w:kern w:val="0"/>
          <w:sz w:val="22"/>
        </w:rPr>
        <w:t xml:space="preserve">)+2(0.68)(0.32)(0.65)(0.3)(0.2) </w:t>
      </w:r>
      <w:r>
        <w:rPr>
          <w:rFonts w:cs="Calibri"/>
          <w:color w:val="000000"/>
          <w:kern w:val="0"/>
          <w:sz w:val="22"/>
        </w:rPr>
        <w:t>= 0.2504.</w:t>
      </w:r>
    </w:p>
    <w:p w:rsidR="003271A0" w:rsidRDefault="003271A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3271A0" w:rsidRDefault="003271A0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 w:hint="eastAsia"/>
          <w:color w:val="000000"/>
          <w:kern w:val="0"/>
          <w:sz w:val="22"/>
        </w:rPr>
        <w:t>4.</w:t>
      </w:r>
      <w:r>
        <w:rPr>
          <w:rFonts w:ascii="Calibri" w:hAnsi="Calibri" w:cs="Calibri"/>
          <w:color w:val="000000"/>
          <w:kern w:val="0"/>
          <w:sz w:val="22"/>
        </w:rPr>
        <w:t>Which of the following stat</w:t>
      </w:r>
      <w:r>
        <w:rPr>
          <w:rFonts w:ascii="Calibri" w:hAnsi="Calibri" w:cs="Calibri"/>
          <w:color w:val="000000"/>
          <w:kern w:val="0"/>
          <w:sz w:val="22"/>
        </w:rPr>
        <w:t>ements is least likely to be an assumption about investor behavior underlying the Markowitz model?</w:t>
      </w: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A. Investors maximize one-period expected return</w:t>
      </w: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B. Investors base their decisions solely on expected return and risk</w:t>
      </w:r>
    </w:p>
    <w:p w:rsidR="003271A0" w:rsidRDefault="00C73F41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color w:val="000000"/>
          <w:kern w:val="0"/>
          <w:sz w:val="22"/>
        </w:rPr>
        <w:t>C. Investors have utility curves that a</w:t>
      </w:r>
      <w:r>
        <w:rPr>
          <w:rFonts w:ascii="Calibri" w:hAnsi="Calibri" w:cs="Calibri"/>
          <w:color w:val="000000"/>
          <w:kern w:val="0"/>
          <w:sz w:val="22"/>
        </w:rPr>
        <w:t>re a function of expected returns and variance.</w:t>
      </w: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b/>
          <w:bCs/>
          <w:color w:val="000000"/>
          <w:sz w:val="22"/>
        </w:rPr>
        <w:t xml:space="preserve">Answer: A </w:t>
      </w:r>
    </w:p>
    <w:p w:rsidR="003271A0" w:rsidRDefault="00446C66">
      <w:pPr>
        <w:autoSpaceDE w:val="0"/>
        <w:autoSpaceDN w:val="0"/>
        <w:adjustRightInd w:val="0"/>
        <w:jc w:val="left"/>
        <w:rPr>
          <w:rFonts w:ascii="Calibri" w:hAnsi="Calibri" w:cs="Calibri"/>
          <w:color w:val="000000"/>
          <w:kern w:val="0"/>
          <w:sz w:val="22"/>
        </w:rPr>
      </w:pPr>
      <w:r w:rsidRPr="00446C66">
        <w:rPr>
          <w:rFonts w:ascii="Calibri" w:hAnsi="Calibri" w:cs="Calibri"/>
          <w:color w:val="000000"/>
          <w:kern w:val="0"/>
          <w:sz w:val="22"/>
        </w:rPr>
        <w:drawing>
          <wp:anchor distT="0" distB="0" distL="114300" distR="114300" simplePos="0" relativeHeight="251644416" behindDoc="0" locked="0" layoutInCell="1" allowOverlap="1" wp14:anchorId="56BD04E3" wp14:editId="2C714D5C">
            <wp:simplePos x="0" y="0"/>
            <wp:positionH relativeFrom="column">
              <wp:posOffset>5328432</wp:posOffset>
            </wp:positionH>
            <wp:positionV relativeFrom="paragraph">
              <wp:posOffset>209989</wp:posOffset>
            </wp:positionV>
            <wp:extent cx="1048483" cy="1019468"/>
            <wp:effectExtent l="0" t="0" r="0" b="0"/>
            <wp:wrapNone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8483" cy="1019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F41">
        <w:rPr>
          <w:rFonts w:ascii="Calibri" w:hAnsi="Calibri" w:cs="Calibri"/>
          <w:color w:val="000000"/>
          <w:kern w:val="0"/>
          <w:sz w:val="22"/>
        </w:rPr>
        <w:t xml:space="preserve">Investors maximize one-period expected utility, and their utility curves demonstrate diminishing marginal utility of wealth. </w:t>
      </w: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446C66">
      <w:pPr>
        <w:autoSpaceDE w:val="0"/>
        <w:autoSpaceDN w:val="0"/>
        <w:adjustRightInd w:val="0"/>
        <w:jc w:val="left"/>
        <w:rPr>
          <w:sz w:val="23"/>
          <w:szCs w:val="23"/>
        </w:rPr>
      </w:pPr>
      <w:r w:rsidRPr="00446C66">
        <w:rPr>
          <w:sz w:val="23"/>
          <w:szCs w:val="23"/>
        </w:rPr>
        <w:drawing>
          <wp:anchor distT="0" distB="0" distL="114300" distR="114300" simplePos="0" relativeHeight="251657728" behindDoc="0" locked="0" layoutInCell="1" allowOverlap="1" wp14:anchorId="6444BF59" wp14:editId="3C6DAB86">
            <wp:simplePos x="0" y="0"/>
            <wp:positionH relativeFrom="column">
              <wp:posOffset>5103739</wp:posOffset>
            </wp:positionH>
            <wp:positionV relativeFrom="paragraph">
              <wp:posOffset>254097</wp:posOffset>
            </wp:positionV>
            <wp:extent cx="1124683" cy="1079060"/>
            <wp:effectExtent l="0" t="0" r="0" b="0"/>
            <wp:wrapNone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83" cy="107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F41">
        <w:rPr>
          <w:rFonts w:hint="eastAsia"/>
          <w:sz w:val="23"/>
          <w:szCs w:val="23"/>
        </w:rPr>
        <w:t>5.</w:t>
      </w:r>
      <w:r w:rsidR="00C73F41">
        <w:rPr>
          <w:sz w:val="23"/>
          <w:szCs w:val="23"/>
        </w:rPr>
        <w:t xml:space="preserve">Relative to an investor with a steeper indifference curve, the </w:t>
      </w:r>
      <w:r w:rsidR="00C73F41">
        <w:rPr>
          <w:sz w:val="23"/>
          <w:szCs w:val="23"/>
        </w:rPr>
        <w:t>optimal portfolio for an investor with a flatter indifference curve will most likely have: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A. a lower level of risk and return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B. a higher level of risk and return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C. the same level of risk and return</w:t>
      </w: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Answer = B 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Because a less risk-averse investor’s highest utility, given the low slope of his indifference curve, is likely to touch the capital allocation line at a point which would represent a portfolio with higher risk and more expected return. </w:t>
      </w: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 xml:space="preserve">6. </w:t>
      </w:r>
      <w:r>
        <w:rPr>
          <w:sz w:val="23"/>
          <w:szCs w:val="23"/>
        </w:rPr>
        <w:t xml:space="preserve">Which of the </w:t>
      </w:r>
      <w:r>
        <w:rPr>
          <w:sz w:val="23"/>
          <w:szCs w:val="23"/>
        </w:rPr>
        <w:t>following statements is least accurate? An investor may construct a portfolio located on the capital market line (CML) by: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A. investing a portion of his capital in the risk-free asset and the balance in a fully diversified portfolio of all equities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B. inve</w:t>
      </w:r>
      <w:r>
        <w:rPr>
          <w:sz w:val="23"/>
          <w:szCs w:val="23"/>
        </w:rPr>
        <w:t>sting a portion of his capital in the risk-free asset and the balance in a fully diversified portfolio of all risky assets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C. borrowing capital at the risk-free rate and investing all his capital plus all borrowed capital in a fully diversified portfolio o</w:t>
      </w:r>
      <w:r>
        <w:rPr>
          <w:sz w:val="23"/>
          <w:szCs w:val="23"/>
        </w:rPr>
        <w:t>f all risky assets</w:t>
      </w: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Answer: A 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This statement is incorrect. Portfolios located on the CML may be constructed by: 1) investing a portion of an investor’s capital in the risk-free asset and the balance in the market portfolio which consists of all risky asse</w:t>
      </w:r>
      <w:r>
        <w:rPr>
          <w:sz w:val="23"/>
          <w:szCs w:val="23"/>
        </w:rPr>
        <w:t xml:space="preserve">ts, or 2) borrowing capital at the risk-free rate and investing all of an investor’s capital plus all borrowed capital in the market portfolio. </w:t>
      </w: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3271A0">
      <w:pPr>
        <w:autoSpaceDE w:val="0"/>
        <w:autoSpaceDN w:val="0"/>
        <w:adjustRightInd w:val="0"/>
        <w:jc w:val="left"/>
        <w:rPr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7.</w:t>
      </w:r>
      <w:r>
        <w:rPr>
          <w:sz w:val="23"/>
          <w:szCs w:val="23"/>
        </w:rPr>
        <w:t>A completely diversified portfolio will most likely result in the elimination of:</w:t>
      </w:r>
      <w:r w:rsidR="00446C66" w:rsidRPr="00446C66">
        <w:rPr>
          <w:noProof/>
        </w:rPr>
        <w:t xml:space="preserve"> 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A. systematic variance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B.</w:t>
      </w:r>
      <w:r>
        <w:rPr>
          <w:sz w:val="23"/>
          <w:szCs w:val="23"/>
        </w:rPr>
        <w:t xml:space="preserve"> unsystematic variance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C. both systematic and unsystematic variance</w:t>
      </w:r>
    </w:p>
    <w:p w:rsidR="003271A0" w:rsidRDefault="003271A0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rPr>
          <w:sz w:val="23"/>
          <w:szCs w:val="23"/>
        </w:rPr>
      </w:pPr>
      <w:r>
        <w:rPr>
          <w:b/>
          <w:bCs/>
          <w:sz w:val="23"/>
          <w:szCs w:val="23"/>
        </w:rPr>
        <w:t>Answer: B</w:t>
      </w:r>
    </w:p>
    <w:p w:rsidR="003271A0" w:rsidRDefault="00C73F41">
      <w:pPr>
        <w:autoSpaceDE w:val="0"/>
        <w:autoSpaceDN w:val="0"/>
        <w:adjustRightInd w:val="0"/>
        <w:jc w:val="left"/>
        <w:rPr>
          <w:sz w:val="23"/>
          <w:szCs w:val="23"/>
        </w:rPr>
      </w:pPr>
      <w:r>
        <w:rPr>
          <w:sz w:val="23"/>
          <w:szCs w:val="23"/>
        </w:rPr>
        <w:t>A completely diversified portfolio, such as the market portfolio, will eliminate all unsystematic risk. Systematic risk cannot be diversified away.</w:t>
      </w:r>
    </w:p>
    <w:p w:rsidR="003271A0" w:rsidRDefault="003271A0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 w:val="23"/>
          <w:szCs w:val="23"/>
        </w:rPr>
      </w:pPr>
    </w:p>
    <w:p w:rsidR="003271A0" w:rsidRDefault="003271A0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 w:hint="eastAsia"/>
          <w:color w:val="000000"/>
          <w:kern w:val="0"/>
          <w:sz w:val="23"/>
          <w:szCs w:val="23"/>
        </w:rPr>
        <w:t>8.</w:t>
      </w:r>
      <w:r>
        <w:rPr>
          <w:rFonts w:cs="Times New Roman"/>
          <w:color w:val="000000"/>
          <w:kern w:val="0"/>
          <w:sz w:val="23"/>
          <w:szCs w:val="23"/>
        </w:rPr>
        <w:t>The slope of the security</w:t>
      </w:r>
      <w:r>
        <w:rPr>
          <w:rFonts w:cs="Times New Roman"/>
          <w:color w:val="000000"/>
          <w:kern w:val="0"/>
          <w:sz w:val="23"/>
          <w:szCs w:val="23"/>
        </w:rPr>
        <w:t xml:space="preserve"> market line (SML) represents the portion of an asset’s expected return attributable to:</w:t>
      </w:r>
    </w:p>
    <w:p w:rsidR="003271A0" w:rsidRDefault="00446C66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 w:val="23"/>
          <w:szCs w:val="23"/>
        </w:rPr>
      </w:pPr>
      <w:r w:rsidRPr="00446C66">
        <w:rPr>
          <w:sz w:val="23"/>
          <w:szCs w:val="23"/>
        </w:rPr>
        <w:drawing>
          <wp:anchor distT="0" distB="0" distL="114300" distR="114300" simplePos="0" relativeHeight="251674112" behindDoc="0" locked="0" layoutInCell="1" allowOverlap="1" wp14:anchorId="56BD04E3" wp14:editId="2C714D5C">
            <wp:simplePos x="0" y="0"/>
            <wp:positionH relativeFrom="column">
              <wp:posOffset>5374640</wp:posOffset>
            </wp:positionH>
            <wp:positionV relativeFrom="paragraph">
              <wp:posOffset>29454</wp:posOffset>
            </wp:positionV>
            <wp:extent cx="1058428" cy="1014639"/>
            <wp:effectExtent l="0" t="0" r="0" b="0"/>
            <wp:wrapNone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8428" cy="1014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3F41">
        <w:rPr>
          <w:rFonts w:cs="Times New Roman"/>
          <w:color w:val="000000"/>
          <w:kern w:val="0"/>
          <w:sz w:val="23"/>
          <w:szCs w:val="23"/>
        </w:rPr>
        <w:t>A. total risk.</w:t>
      </w:r>
    </w:p>
    <w:p w:rsidR="003271A0" w:rsidRDefault="00C73F41">
      <w:pPr>
        <w:autoSpaceDE w:val="0"/>
        <w:autoSpaceDN w:val="0"/>
        <w:adjustRightInd w:val="0"/>
        <w:jc w:val="left"/>
        <w:rPr>
          <w:rFonts w:cs="Times New Roman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t>B. market risk.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Times New Roman"/>
          <w:color w:val="000000"/>
          <w:kern w:val="0"/>
          <w:sz w:val="23"/>
          <w:szCs w:val="23"/>
        </w:rPr>
        <w:lastRenderedPageBreak/>
        <w:t>C. diversifiable risk.</w:t>
      </w:r>
    </w:p>
    <w:p w:rsidR="003271A0" w:rsidRDefault="003271A0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  <w:t xml:space="preserve">Answer: </w:t>
      </w:r>
      <w:r>
        <w:rPr>
          <w:rFonts w:cs="Times New Roman" w:hint="eastAsia"/>
          <w:b/>
          <w:bCs/>
          <w:color w:val="000000"/>
          <w:sz w:val="23"/>
          <w:szCs w:val="23"/>
        </w:rPr>
        <w:t>B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sz w:val="22"/>
        </w:rPr>
        <w:t xml:space="preserve">The slope of the SML is the market risk premium, E(Rm) – Rf. It represents the return of the market </w:t>
      </w:r>
      <w:r>
        <w:rPr>
          <w:sz w:val="22"/>
        </w:rPr>
        <w:t>less the return of a risk-free asset. Thus, the slope represents the portion of expected return that reflects compensation for market or systematic risk.</w:t>
      </w:r>
    </w:p>
    <w:p w:rsidR="003271A0" w:rsidRDefault="00446C66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 w:rsidRPr="00446C66">
        <w:rPr>
          <w:rFonts w:cs="Calibri"/>
          <w:color w:val="000000"/>
          <w:kern w:val="0"/>
          <w:sz w:val="23"/>
          <w:szCs w:val="23"/>
        </w:rPr>
        <w:drawing>
          <wp:anchor distT="0" distB="0" distL="114300" distR="114300" simplePos="0" relativeHeight="251679232" behindDoc="0" locked="0" layoutInCell="1" allowOverlap="1" wp14:anchorId="6444BF59" wp14:editId="3C6DAB86">
            <wp:simplePos x="0" y="0"/>
            <wp:positionH relativeFrom="column">
              <wp:posOffset>4600135</wp:posOffset>
            </wp:positionH>
            <wp:positionV relativeFrom="paragraph">
              <wp:posOffset>31652</wp:posOffset>
            </wp:positionV>
            <wp:extent cx="1293495" cy="1233805"/>
            <wp:effectExtent l="0" t="0" r="1905" b="4445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71A0" w:rsidRDefault="003271A0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 w:hint="eastAsia"/>
          <w:color w:val="000000"/>
          <w:kern w:val="0"/>
          <w:sz w:val="23"/>
          <w:szCs w:val="23"/>
        </w:rPr>
        <w:t>9.</w:t>
      </w:r>
      <w:r>
        <w:rPr>
          <w:rFonts w:cs="Calibri"/>
          <w:color w:val="000000"/>
          <w:kern w:val="0"/>
          <w:sz w:val="23"/>
          <w:szCs w:val="23"/>
        </w:rPr>
        <w:t xml:space="preserve"> The following table shows data for the stock of JKU and a market-index.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Expected return of JKU: 1</w:t>
      </w:r>
      <w:r>
        <w:rPr>
          <w:rFonts w:cs="Calibri"/>
          <w:color w:val="000000"/>
          <w:kern w:val="0"/>
          <w:sz w:val="23"/>
          <w:szCs w:val="23"/>
        </w:rPr>
        <w:t>5%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Expected return of market index:12%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Risk free rate: 5%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Standard deviation of JKU returns: 20%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Standard deviation of market index returns: 15%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Correlation of JKU and market index returns: 0.75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 xml:space="preserve">Based on the capital asset pricing model (CAPM), JKU is most </w:t>
      </w:r>
      <w:r>
        <w:rPr>
          <w:rFonts w:cs="Calibri"/>
          <w:color w:val="000000"/>
          <w:kern w:val="0"/>
          <w:sz w:val="23"/>
          <w:szCs w:val="23"/>
        </w:rPr>
        <w:t>likely: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A. overvalued.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B. undervalued.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C. fairly valued.</w:t>
      </w:r>
    </w:p>
    <w:p w:rsidR="003271A0" w:rsidRDefault="003271A0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rPr>
          <w:rFonts w:cs="Calibri"/>
          <w:color w:val="000000"/>
          <w:sz w:val="23"/>
          <w:szCs w:val="23"/>
        </w:rPr>
      </w:pPr>
      <w:r>
        <w:rPr>
          <w:rFonts w:cs="Calibri"/>
          <w:b/>
          <w:bCs/>
          <w:color w:val="000000"/>
          <w:sz w:val="23"/>
          <w:szCs w:val="23"/>
        </w:rPr>
        <w:t xml:space="preserve">Answer = B 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β</w:t>
      </w:r>
      <w:r>
        <w:rPr>
          <w:rFonts w:cs="Calibri"/>
          <w:color w:val="000000"/>
          <w:kern w:val="0"/>
          <w:sz w:val="23"/>
          <w:szCs w:val="23"/>
          <w:vertAlign w:val="subscript"/>
        </w:rPr>
        <w:t>JKU</w:t>
      </w:r>
      <w:r>
        <w:rPr>
          <w:rFonts w:cs="Calibri"/>
          <w:color w:val="000000"/>
          <w:kern w:val="0"/>
          <w:sz w:val="23"/>
          <w:szCs w:val="23"/>
        </w:rPr>
        <w:t xml:space="preserve">= </w:t>
      </w:r>
      <w:proofErr w:type="spellStart"/>
      <w:r>
        <w:rPr>
          <w:rFonts w:cs="Calibri"/>
          <w:color w:val="000000"/>
          <w:kern w:val="0"/>
          <w:sz w:val="23"/>
          <w:szCs w:val="23"/>
        </w:rPr>
        <w:t>ρ</w:t>
      </w:r>
      <w:r>
        <w:rPr>
          <w:rFonts w:cs="Calibri"/>
          <w:color w:val="000000"/>
          <w:kern w:val="0"/>
          <w:sz w:val="23"/>
          <w:szCs w:val="23"/>
          <w:vertAlign w:val="subscript"/>
        </w:rPr>
        <w:t>JKU,M</w:t>
      </w:r>
      <w:proofErr w:type="spellEnd"/>
      <w:r>
        <w:rPr>
          <w:rFonts w:cs="Calibri" w:hint="eastAsia"/>
          <w:color w:val="000000"/>
          <w:kern w:val="0"/>
          <w:sz w:val="23"/>
          <w:szCs w:val="23"/>
        </w:rPr>
        <w:t>×σ</w:t>
      </w:r>
      <w:r>
        <w:rPr>
          <w:rFonts w:cs="Calibri"/>
          <w:color w:val="000000"/>
          <w:kern w:val="0"/>
          <w:sz w:val="23"/>
          <w:szCs w:val="23"/>
          <w:vertAlign w:val="subscript"/>
        </w:rPr>
        <w:t>JKU</w:t>
      </w:r>
      <w:r>
        <w:rPr>
          <w:rFonts w:cs="Calibri"/>
          <w:color w:val="000000"/>
          <w:kern w:val="0"/>
          <w:sz w:val="23"/>
          <w:szCs w:val="23"/>
        </w:rPr>
        <w:t xml:space="preserve"> / </w:t>
      </w:r>
      <w:proofErr w:type="spellStart"/>
      <w:r>
        <w:rPr>
          <w:rFonts w:cs="Calibri"/>
          <w:color w:val="000000"/>
          <w:kern w:val="0"/>
          <w:sz w:val="23"/>
          <w:szCs w:val="23"/>
        </w:rPr>
        <w:t>σ</w:t>
      </w:r>
      <w:r>
        <w:rPr>
          <w:rFonts w:cs="Calibri"/>
          <w:color w:val="000000"/>
          <w:kern w:val="0"/>
          <w:sz w:val="23"/>
          <w:szCs w:val="23"/>
          <w:vertAlign w:val="subscript"/>
        </w:rPr>
        <w:t>M</w:t>
      </w:r>
      <w:proofErr w:type="spellEnd"/>
      <w:r>
        <w:rPr>
          <w:rFonts w:cs="Calibri"/>
          <w:color w:val="000000"/>
          <w:kern w:val="0"/>
          <w:sz w:val="23"/>
          <w:szCs w:val="23"/>
        </w:rPr>
        <w:t xml:space="preserve"> = 0.75×0.2/0.15 = 1.0 E(R</w:t>
      </w:r>
      <w:r>
        <w:rPr>
          <w:rFonts w:cs="Calibri"/>
          <w:color w:val="000000"/>
          <w:kern w:val="0"/>
          <w:sz w:val="23"/>
          <w:szCs w:val="23"/>
          <w:vertAlign w:val="subscript"/>
        </w:rPr>
        <w:t>JKU</w:t>
      </w:r>
      <w:r>
        <w:rPr>
          <w:rFonts w:cs="Calibri"/>
          <w:color w:val="000000"/>
          <w:kern w:val="0"/>
          <w:sz w:val="23"/>
          <w:szCs w:val="23"/>
        </w:rPr>
        <w:t>) = RFR + β</w:t>
      </w:r>
      <w:r>
        <w:rPr>
          <w:rFonts w:cs="Calibri"/>
          <w:color w:val="000000"/>
          <w:kern w:val="0"/>
          <w:sz w:val="23"/>
          <w:szCs w:val="23"/>
          <w:vertAlign w:val="subscript"/>
        </w:rPr>
        <w:t>JKU</w:t>
      </w:r>
      <w:r>
        <w:rPr>
          <w:rFonts w:cs="Calibri"/>
          <w:color w:val="000000"/>
          <w:kern w:val="0"/>
          <w:sz w:val="23"/>
          <w:szCs w:val="23"/>
        </w:rPr>
        <w:t xml:space="preserve"> x (R</w:t>
      </w:r>
      <w:r>
        <w:rPr>
          <w:rFonts w:cs="Calibri"/>
          <w:color w:val="000000"/>
          <w:kern w:val="0"/>
          <w:sz w:val="23"/>
          <w:szCs w:val="23"/>
          <w:vertAlign w:val="subscript"/>
        </w:rPr>
        <w:t>M</w:t>
      </w:r>
      <w:r>
        <w:rPr>
          <w:rFonts w:cs="Calibri"/>
          <w:color w:val="000000"/>
          <w:kern w:val="0"/>
          <w:sz w:val="23"/>
          <w:szCs w:val="23"/>
        </w:rPr>
        <w:t xml:space="preserve"> – RFR) = 0.05 +1 x (0.12 – 0.05) = 0.12 The required rate of return of JKU is 12% and the expected return of JKU i</w:t>
      </w:r>
      <w:r>
        <w:rPr>
          <w:rFonts w:cs="Calibri"/>
          <w:color w:val="000000"/>
          <w:kern w:val="0"/>
          <w:sz w:val="23"/>
          <w:szCs w:val="23"/>
        </w:rPr>
        <w:t xml:space="preserve">s 15% therefore JKU is undervalued relative to the Security Market Line (SML). The risk-return relationship lies above the SML. </w:t>
      </w:r>
    </w:p>
    <w:p w:rsidR="003271A0" w:rsidRDefault="003271A0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</w:p>
    <w:p w:rsidR="003271A0" w:rsidRDefault="003271A0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 w:hint="eastAsia"/>
          <w:color w:val="000000"/>
          <w:kern w:val="0"/>
          <w:sz w:val="23"/>
          <w:szCs w:val="23"/>
        </w:rPr>
        <w:t xml:space="preserve">10. </w:t>
      </w:r>
      <w:r>
        <w:rPr>
          <w:rFonts w:cs="Calibri"/>
          <w:color w:val="000000"/>
          <w:kern w:val="0"/>
          <w:sz w:val="23"/>
          <w:szCs w:val="23"/>
        </w:rPr>
        <w:t>Which of the following factors is least likely to impact an individual’s ability to take risk?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A. Time horizon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 xml:space="preserve">B. </w:t>
      </w:r>
      <w:r>
        <w:rPr>
          <w:rFonts w:cs="Calibri"/>
          <w:color w:val="000000"/>
          <w:kern w:val="0"/>
          <w:sz w:val="23"/>
          <w:szCs w:val="23"/>
        </w:rPr>
        <w:t>Personality type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C. Expected income</w:t>
      </w:r>
    </w:p>
    <w:p w:rsidR="003271A0" w:rsidRDefault="003271A0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</w:p>
    <w:p w:rsidR="003271A0" w:rsidRDefault="00C73F41">
      <w:pPr>
        <w:autoSpaceDE w:val="0"/>
        <w:autoSpaceDN w:val="0"/>
        <w:adjustRightInd w:val="0"/>
        <w:rPr>
          <w:rFonts w:cs="Calibri"/>
          <w:color w:val="000000"/>
          <w:sz w:val="23"/>
          <w:szCs w:val="23"/>
        </w:rPr>
      </w:pPr>
      <w:r>
        <w:rPr>
          <w:rFonts w:cs="Calibri"/>
          <w:b/>
          <w:bCs/>
          <w:color w:val="000000"/>
          <w:sz w:val="23"/>
          <w:szCs w:val="23"/>
        </w:rPr>
        <w:t>Answer = B</w:t>
      </w:r>
    </w:p>
    <w:p w:rsidR="003271A0" w:rsidRDefault="00C73F41">
      <w:pPr>
        <w:autoSpaceDE w:val="0"/>
        <w:autoSpaceDN w:val="0"/>
        <w:adjustRightInd w:val="0"/>
        <w:jc w:val="left"/>
        <w:rPr>
          <w:rFonts w:cs="Calibri"/>
          <w:color w:val="000000"/>
          <w:kern w:val="0"/>
          <w:sz w:val="23"/>
          <w:szCs w:val="23"/>
        </w:rPr>
      </w:pPr>
      <w:r>
        <w:rPr>
          <w:rFonts w:cs="Calibri"/>
          <w:color w:val="000000"/>
          <w:kern w:val="0"/>
          <w:sz w:val="23"/>
          <w:szCs w:val="23"/>
        </w:rPr>
        <w:t>An individual’s ability to take risk is impacted by such factors as time horizon and expected income. Personality type is most likely to impact an individual’s willingness to take risk.</w:t>
      </w:r>
    </w:p>
    <w:p w:rsidR="003271A0" w:rsidRDefault="00446C66">
      <w:pPr>
        <w:autoSpaceDE w:val="0"/>
        <w:autoSpaceDN w:val="0"/>
        <w:adjustRightInd w:val="0"/>
        <w:jc w:val="left"/>
        <w:rPr>
          <w:rFonts w:cs="Calibri"/>
          <w:b/>
          <w:color w:val="000000"/>
          <w:kern w:val="0"/>
          <w:sz w:val="23"/>
          <w:szCs w:val="23"/>
        </w:rPr>
      </w:pPr>
      <w:bookmarkStart w:id="0" w:name="_GoBack"/>
      <w:r w:rsidRPr="00446C66">
        <w:rPr>
          <w:rFonts w:cs="Calibri"/>
          <w:color w:val="000000"/>
          <w:kern w:val="0"/>
          <w:sz w:val="23"/>
          <w:szCs w:val="23"/>
        </w:rPr>
        <w:drawing>
          <wp:anchor distT="0" distB="0" distL="114300" distR="114300" simplePos="0" relativeHeight="251682304" behindDoc="0" locked="0" layoutInCell="1" allowOverlap="1" wp14:anchorId="56BD04E3" wp14:editId="2C714D5C">
            <wp:simplePos x="0" y="0"/>
            <wp:positionH relativeFrom="column">
              <wp:posOffset>5176666</wp:posOffset>
            </wp:positionH>
            <wp:positionV relativeFrom="paragraph">
              <wp:posOffset>995973</wp:posOffset>
            </wp:positionV>
            <wp:extent cx="1217295" cy="1160145"/>
            <wp:effectExtent l="0" t="0" r="1905" b="1905"/>
            <wp:wrapNone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3271A0">
      <w:headerReference w:type="default" r:id="rId12"/>
      <w:footerReference w:type="default" r:id="rId13"/>
      <w:pgSz w:w="11906" w:h="16838"/>
      <w:pgMar w:top="1440" w:right="1274" w:bottom="1276" w:left="1134" w:header="851" w:footer="61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F41" w:rsidRDefault="00C73F41">
      <w:r>
        <w:separator/>
      </w:r>
    </w:p>
  </w:endnote>
  <w:endnote w:type="continuationSeparator" w:id="0">
    <w:p w:rsidR="00C73F41" w:rsidRDefault="00C73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1A0" w:rsidRDefault="00C73F41">
    <w:pPr>
      <w:pStyle w:val="a5"/>
      <w:pBdr>
        <w:top w:val="single" w:sz="4" w:space="1" w:color="A5A5A5" w:themeColor="background1" w:themeShade="A5"/>
      </w:pBdr>
      <w:wordWrap w:val="0"/>
      <w:jc w:val="right"/>
      <w:rPr>
        <w:color w:val="7F7F7F" w:themeColor="background1" w:themeShade="7F"/>
      </w:rPr>
    </w:pPr>
    <w:r>
      <w:rPr>
        <w:color w:val="7F7F7F" w:themeColor="background1" w:themeShade="7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left:0;text-align:left;margin-left:433.15pt;margin-top:-16.65pt;width:41.3pt;height:18.25pt;z-index:251697152;mso-width-relative:page;mso-height-relative:page" filled="f" stroked="f">
          <v:textbox inset=",0,,0">
            <w:txbxContent>
              <w:p w:rsidR="003271A0" w:rsidRDefault="00C73F41">
                <w:pPr>
                  <w:jc w:val="center"/>
                  <w:rPr>
                    <w:color w:val="4F81BD" w:themeColor="accent1"/>
                  </w:rPr>
                </w:pPr>
                <w:r>
                  <w:rPr>
                    <w:rFonts w:hint="eastAsia"/>
                  </w:rPr>
                  <w:t>-</w:t>
                </w: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446C66" w:rsidRPr="00446C66">
                  <w:rPr>
                    <w:noProof/>
                    <w:lang w:val="zh-CN"/>
                  </w:rPr>
                  <w:t>3</w:t>
                </w:r>
                <w:r>
                  <w:rPr>
                    <w:lang w:val="zh-CN"/>
                  </w:rPr>
                  <w:fldChar w:fldCharType="end"/>
                </w:r>
                <w:r>
                  <w:rPr>
                    <w:rFonts w:hint="eastAsia"/>
                  </w:rPr>
                  <w:t>-</w:t>
                </w:r>
              </w:p>
            </w:txbxContent>
          </v:textbox>
        </v:shape>
      </w:pict>
    </w:r>
    <w:sdt>
      <w:sdtPr>
        <w:alias w:val="公司"/>
        <w:id w:val="76161118"/>
        <w:placeholder>
          <w:docPart w:val="A0F7A561D771482C9B76A384459B5920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rPr>
            <w:rFonts w:hint="eastAsia"/>
          </w:rPr>
          <w:t>学服：</w:t>
        </w:r>
        <w:r>
          <w:rPr>
            <w:rFonts w:hint="eastAsia"/>
          </w:rPr>
          <w:t xml:space="preserve">021-51210513  </w:t>
        </w:r>
        <w:r>
          <w:rPr>
            <w:rFonts w:hint="eastAsia"/>
          </w:rPr>
          <w:t>咨询：</w:t>
        </w:r>
        <w:r>
          <w:rPr>
            <w:rFonts w:hint="eastAsia"/>
          </w:rPr>
          <w:t xml:space="preserve">400-600-8011  </w:t>
        </w:r>
        <w:r>
          <w:rPr>
            <w:rFonts w:hint="eastAsia"/>
          </w:rPr>
          <w:t>邮箱：</w:t>
        </w:r>
        <w:r>
          <w:rPr>
            <w:rFonts w:hint="eastAsia"/>
          </w:rPr>
          <w:t xml:space="preserve">cfa@gaodun.cn  </w:t>
        </w:r>
        <w:r>
          <w:rPr>
            <w:rFonts w:hint="eastAsia"/>
          </w:rPr>
          <w:t>网站：</w:t>
        </w:r>
        <w:r>
          <w:rPr>
            <w:rFonts w:hint="eastAsia"/>
          </w:rPr>
          <w:t>cfa.gaodun.cn</w:t>
        </w:r>
      </w:sdtContent>
    </w:sdt>
    <w:r>
      <w:rPr>
        <w:color w:val="7F7F7F" w:themeColor="background1" w:themeShade="7F"/>
        <w:lang w:val="zh-CN"/>
      </w:rPr>
      <w:t>|</w:t>
    </w:r>
    <w:sdt>
      <w:sdtPr>
        <w:rPr>
          <w:b/>
        </w:rPr>
        <w:alias w:val="地址"/>
        <w:id w:val="76161122"/>
        <w:placeholder>
          <w:docPart w:val="1E11AA381CAA41E7AE1E8A726AB6049E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>
          <w:rPr>
            <w:rFonts w:hint="eastAsia"/>
            <w:b/>
          </w:rPr>
          <w:t>高顿财经</w:t>
        </w:r>
        <w:r>
          <w:rPr>
            <w:rFonts w:hint="eastAsia"/>
            <w:b/>
          </w:rPr>
          <w:t xml:space="preserve">  </w:t>
        </w:r>
      </w:sdtContent>
    </w:sdt>
  </w:p>
  <w:p w:rsidR="003271A0" w:rsidRDefault="003271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F41" w:rsidRDefault="00C73F41">
      <w:r>
        <w:separator/>
      </w:r>
    </w:p>
  </w:footnote>
  <w:footnote w:type="continuationSeparator" w:id="0">
    <w:p w:rsidR="00C73F41" w:rsidRDefault="00C73F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71A0" w:rsidRDefault="00C73F41">
    <w:pPr>
      <w:pStyle w:val="a7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left:0;text-align:left;margin-left:353.65pt;margin-top:-19.15pt;width:162.9pt;height:40.5pt;z-index:251781120;mso-width-relative:page;mso-height-relative:page" filled="f" stroked="f">
          <v:textbox>
            <w:txbxContent>
              <w:p w:rsidR="003271A0" w:rsidRDefault="00C73F41">
                <w:pPr>
                  <w:jc w:val="center"/>
                  <w:rPr>
                    <w:rFonts w:ascii="黑体" w:eastAsia="黑体"/>
                    <w:sz w:val="24"/>
                    <w:szCs w:val="24"/>
                  </w:rPr>
                </w:pPr>
                <w:r>
                  <w:rPr>
                    <w:rFonts w:ascii="黑体" w:eastAsia="黑体" w:hint="eastAsia"/>
                    <w:sz w:val="24"/>
                    <w:szCs w:val="24"/>
                  </w:rPr>
                  <w:t>财经学习，只</w:t>
                </w:r>
                <w:proofErr w:type="gramStart"/>
                <w:r>
                  <w:rPr>
                    <w:rFonts w:ascii="黑体" w:eastAsia="黑体" w:hint="eastAsia"/>
                    <w:sz w:val="24"/>
                    <w:szCs w:val="24"/>
                  </w:rPr>
                  <w:t>在高顿</w:t>
                </w:r>
                <w:proofErr w:type="gramEnd"/>
                <w:r>
                  <w:rPr>
                    <w:rFonts w:ascii="黑体" w:eastAsia="黑体"/>
                    <w:sz w:val="24"/>
                    <w:szCs w:val="24"/>
                  </w:rPr>
                  <w:t>http://</w:t>
                </w:r>
                <w:r>
                  <w:rPr>
                    <w:rFonts w:ascii="黑体" w:eastAsia="黑体" w:hint="eastAsia"/>
                    <w:sz w:val="24"/>
                    <w:szCs w:val="24"/>
                  </w:rPr>
                  <w:t>finance</w:t>
                </w:r>
                <w:r>
                  <w:rPr>
                    <w:rFonts w:ascii="黑体" w:eastAsia="黑体" w:hint="eastAsia"/>
                    <w:sz w:val="24"/>
                    <w:szCs w:val="24"/>
                  </w:rPr>
                  <w:t>.</w:t>
                </w:r>
                <w:r>
                  <w:rPr>
                    <w:rFonts w:ascii="黑体" w:eastAsia="黑体"/>
                    <w:sz w:val="24"/>
                    <w:szCs w:val="24"/>
                  </w:rPr>
                  <w:t>gaodun.cn</w:t>
                </w:r>
              </w:p>
              <w:p w:rsidR="003271A0" w:rsidRDefault="003271A0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740160" behindDoc="0" locked="0" layoutInCell="1" allowOverlap="1">
          <wp:simplePos x="0" y="0"/>
          <wp:positionH relativeFrom="column">
            <wp:posOffset>-24765</wp:posOffset>
          </wp:positionH>
          <wp:positionV relativeFrom="paragraph">
            <wp:posOffset>-273050</wp:posOffset>
          </wp:positionV>
          <wp:extent cx="1256665" cy="466725"/>
          <wp:effectExtent l="0" t="0" r="635" b="9525"/>
          <wp:wrapSquare wrapText="bothSides"/>
          <wp:docPr id="3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rcRect r="62617"/>
                  <a:stretch>
                    <a:fillRect/>
                  </a:stretch>
                </pic:blipFill>
                <pic:spPr>
                  <a:xfrm>
                    <a:off x="0" y="0"/>
                    <a:ext cx="1256665" cy="46672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3271A0" w:rsidRDefault="003271A0">
    <w:pPr>
      <w:pStyle w:val="a7"/>
    </w:pPr>
  </w:p>
  <w:p w:rsidR="003271A0" w:rsidRDefault="003271A0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0F7E"/>
    <w:rsid w:val="000130EA"/>
    <w:rsid w:val="000262EB"/>
    <w:rsid w:val="00026CDA"/>
    <w:rsid w:val="00052397"/>
    <w:rsid w:val="00091008"/>
    <w:rsid w:val="000A1E27"/>
    <w:rsid w:val="000A3366"/>
    <w:rsid w:val="000A690F"/>
    <w:rsid w:val="000E3572"/>
    <w:rsid w:val="001009FA"/>
    <w:rsid w:val="0010549D"/>
    <w:rsid w:val="001155AF"/>
    <w:rsid w:val="00147C27"/>
    <w:rsid w:val="00155D10"/>
    <w:rsid w:val="001648F3"/>
    <w:rsid w:val="0018274C"/>
    <w:rsid w:val="00193E2F"/>
    <w:rsid w:val="001A55D3"/>
    <w:rsid w:val="002321F0"/>
    <w:rsid w:val="0024708A"/>
    <w:rsid w:val="00266456"/>
    <w:rsid w:val="0027082A"/>
    <w:rsid w:val="0028465E"/>
    <w:rsid w:val="00295F0F"/>
    <w:rsid w:val="002A0521"/>
    <w:rsid w:val="002A53CD"/>
    <w:rsid w:val="002A64A6"/>
    <w:rsid w:val="002A6CE6"/>
    <w:rsid w:val="002B3BA1"/>
    <w:rsid w:val="002C4D66"/>
    <w:rsid w:val="002C64E8"/>
    <w:rsid w:val="002F1EB3"/>
    <w:rsid w:val="00305025"/>
    <w:rsid w:val="003271A0"/>
    <w:rsid w:val="00384737"/>
    <w:rsid w:val="00393265"/>
    <w:rsid w:val="00394AB3"/>
    <w:rsid w:val="003F1884"/>
    <w:rsid w:val="00400D37"/>
    <w:rsid w:val="00440193"/>
    <w:rsid w:val="00446C66"/>
    <w:rsid w:val="004A1822"/>
    <w:rsid w:val="004E4E81"/>
    <w:rsid w:val="004E4F1C"/>
    <w:rsid w:val="00532306"/>
    <w:rsid w:val="00552B8A"/>
    <w:rsid w:val="00586F81"/>
    <w:rsid w:val="005A5F45"/>
    <w:rsid w:val="005B7AC0"/>
    <w:rsid w:val="005C1C2C"/>
    <w:rsid w:val="005C6018"/>
    <w:rsid w:val="005D7251"/>
    <w:rsid w:val="005F2AD3"/>
    <w:rsid w:val="00636ECD"/>
    <w:rsid w:val="0063796F"/>
    <w:rsid w:val="00653F95"/>
    <w:rsid w:val="00657A4C"/>
    <w:rsid w:val="006624A5"/>
    <w:rsid w:val="006B5FD4"/>
    <w:rsid w:val="006E30B8"/>
    <w:rsid w:val="006F5EC3"/>
    <w:rsid w:val="00707B07"/>
    <w:rsid w:val="00721C28"/>
    <w:rsid w:val="0073406A"/>
    <w:rsid w:val="007A3678"/>
    <w:rsid w:val="007F7C48"/>
    <w:rsid w:val="00830ACD"/>
    <w:rsid w:val="0083125D"/>
    <w:rsid w:val="00847075"/>
    <w:rsid w:val="008D1EF9"/>
    <w:rsid w:val="00905D22"/>
    <w:rsid w:val="00941CE6"/>
    <w:rsid w:val="00944F68"/>
    <w:rsid w:val="00955E03"/>
    <w:rsid w:val="00972EF0"/>
    <w:rsid w:val="00993027"/>
    <w:rsid w:val="009B4DAA"/>
    <w:rsid w:val="009C34AC"/>
    <w:rsid w:val="009E1A44"/>
    <w:rsid w:val="00A2731A"/>
    <w:rsid w:val="00A46DD5"/>
    <w:rsid w:val="00A53659"/>
    <w:rsid w:val="00A74FA3"/>
    <w:rsid w:val="00AA194E"/>
    <w:rsid w:val="00AA4D17"/>
    <w:rsid w:val="00AB121E"/>
    <w:rsid w:val="00AC52D6"/>
    <w:rsid w:val="00AC5B4A"/>
    <w:rsid w:val="00AD0F7E"/>
    <w:rsid w:val="00AD15A5"/>
    <w:rsid w:val="00B00A83"/>
    <w:rsid w:val="00B11704"/>
    <w:rsid w:val="00B55718"/>
    <w:rsid w:val="00B72DB7"/>
    <w:rsid w:val="00B748CA"/>
    <w:rsid w:val="00BB40C4"/>
    <w:rsid w:val="00C73F41"/>
    <w:rsid w:val="00C74A3A"/>
    <w:rsid w:val="00C8087F"/>
    <w:rsid w:val="00CC62A7"/>
    <w:rsid w:val="00CE318F"/>
    <w:rsid w:val="00CF6757"/>
    <w:rsid w:val="00D02B2A"/>
    <w:rsid w:val="00D656B4"/>
    <w:rsid w:val="00D829F0"/>
    <w:rsid w:val="00D857DA"/>
    <w:rsid w:val="00D95F27"/>
    <w:rsid w:val="00DC0648"/>
    <w:rsid w:val="00DC48E9"/>
    <w:rsid w:val="00E048CD"/>
    <w:rsid w:val="00E05F53"/>
    <w:rsid w:val="00E42802"/>
    <w:rsid w:val="00E83613"/>
    <w:rsid w:val="00E93903"/>
    <w:rsid w:val="00EA27EB"/>
    <w:rsid w:val="00EC1B24"/>
    <w:rsid w:val="00EF424E"/>
    <w:rsid w:val="00EF6E91"/>
    <w:rsid w:val="00F01A14"/>
    <w:rsid w:val="00F17F9C"/>
    <w:rsid w:val="00F40137"/>
    <w:rsid w:val="00F44116"/>
    <w:rsid w:val="00F57797"/>
    <w:rsid w:val="00F92A83"/>
    <w:rsid w:val="00FC1727"/>
    <w:rsid w:val="00FD55EC"/>
    <w:rsid w:val="00FE74F0"/>
    <w:rsid w:val="7E875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5:docId w15:val="{78004A11-F368-4EB6-87DD-0A792EE8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"/>
    <w:uiPriority w:val="1"/>
    <w:qFormat/>
    <w:rPr>
      <w:kern w:val="0"/>
      <w:sz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7A561D771482C9B76A384459B59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3A6B21-3094-4544-9725-81C794BE795E}"/>
      </w:docPartPr>
      <w:docPartBody>
        <w:p w:rsidR="00A00178" w:rsidRDefault="00E61FB1">
          <w:pPr>
            <w:pStyle w:val="A0F7A561D771482C9B76A384459B5920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键入公司名称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  <w:docPart>
      <w:docPartPr>
        <w:name w:val="1E11AA381CAA41E7AE1E8A726AB604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0CC2FD-04ED-4E7B-80CC-54DC307B713A}"/>
      </w:docPartPr>
      <w:docPartBody>
        <w:p w:rsidR="00A00178" w:rsidRDefault="00E61FB1">
          <w:pPr>
            <w:pStyle w:val="1E11AA381CAA41E7AE1E8A726AB6049E"/>
          </w:pPr>
          <w:r>
            <w:rPr>
              <w:color w:val="7F7F7F" w:themeColor="background1" w:themeShade="7F"/>
              <w:lang w:val="zh-CN"/>
            </w:rPr>
            <w:t>[</w:t>
          </w:r>
          <w:r>
            <w:rPr>
              <w:color w:val="7F7F7F" w:themeColor="background1" w:themeShade="7F"/>
              <w:lang w:val="zh-CN"/>
            </w:rPr>
            <w:t>键入公司地址</w:t>
          </w:r>
          <w:r>
            <w:rPr>
              <w:color w:val="7F7F7F" w:themeColor="background1" w:themeShade="7F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0159"/>
    <w:rsid w:val="00063885"/>
    <w:rsid w:val="000E7B7A"/>
    <w:rsid w:val="0024698F"/>
    <w:rsid w:val="00247749"/>
    <w:rsid w:val="00337E4C"/>
    <w:rsid w:val="003F59B8"/>
    <w:rsid w:val="00472ACF"/>
    <w:rsid w:val="00A00178"/>
    <w:rsid w:val="00B24304"/>
    <w:rsid w:val="00C07DA6"/>
    <w:rsid w:val="00CA03AF"/>
    <w:rsid w:val="00D23D08"/>
    <w:rsid w:val="00D60159"/>
    <w:rsid w:val="00D96F90"/>
    <w:rsid w:val="00E47906"/>
    <w:rsid w:val="00E61FB1"/>
    <w:rsid w:val="00EA78F4"/>
    <w:rsid w:val="00FF18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6F1C1839E44C66B650A56F8643A3DF">
    <w:name w:val="006F1C1839E44C66B650A56F8643A3DF"/>
    <w:pPr>
      <w:widowControl w:val="0"/>
      <w:jc w:val="both"/>
    </w:pPr>
    <w:rPr>
      <w:kern w:val="2"/>
      <w:sz w:val="21"/>
      <w:szCs w:val="22"/>
    </w:rPr>
  </w:style>
  <w:style w:type="paragraph" w:customStyle="1" w:styleId="0D300E8BC8884EBD8A80321A78A0764F">
    <w:name w:val="0D300E8BC8884EBD8A80321A78A0764F"/>
    <w:pPr>
      <w:widowControl w:val="0"/>
      <w:jc w:val="both"/>
    </w:pPr>
    <w:rPr>
      <w:kern w:val="2"/>
      <w:sz w:val="21"/>
      <w:szCs w:val="22"/>
    </w:rPr>
  </w:style>
  <w:style w:type="paragraph" w:customStyle="1" w:styleId="A0F7A561D771482C9B76A384459B5920">
    <w:name w:val="A0F7A561D771482C9B76A384459B5920"/>
    <w:pPr>
      <w:widowControl w:val="0"/>
      <w:jc w:val="both"/>
    </w:pPr>
    <w:rPr>
      <w:kern w:val="2"/>
      <w:sz w:val="21"/>
      <w:szCs w:val="22"/>
    </w:rPr>
  </w:style>
  <w:style w:type="paragraph" w:customStyle="1" w:styleId="1E11AA381CAA41E7AE1E8A726AB6049E">
    <w:name w:val="1E11AA381CAA41E7AE1E8A726AB6049E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高顿财经  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4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283BF9D8-92B0-436A-A0B0-6D111827F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741</Words>
  <Characters>4230</Characters>
  <Application>Microsoft Office Word</Application>
  <DocSecurity>0</DocSecurity>
  <Lines>35</Lines>
  <Paragraphs>9</Paragraphs>
  <ScaleCrop>false</ScaleCrop>
  <Company>学服：021-51210513  咨询：400-600-8011  邮箱：cfa@gaodun.cn  网站：cfa.gaodun.cn</Company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brooke</dc:creator>
  <cp:lastModifiedBy>梁文伯</cp:lastModifiedBy>
  <cp:revision>32</cp:revision>
  <cp:lastPrinted>2018-01-22T05:20:00Z</cp:lastPrinted>
  <dcterms:created xsi:type="dcterms:W3CDTF">2014-07-09T03:51:00Z</dcterms:created>
  <dcterms:modified xsi:type="dcterms:W3CDTF">2018-01-22T05:21:00Z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