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C17" w:rsidRDefault="00BC7C17" w:rsidP="00BC7C17">
      <w:pPr>
        <w:spacing w:afterLines="100" w:after="312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CFA三级官方教材变化对比（2017-2018）</w:t>
      </w:r>
    </w:p>
    <w:p w:rsidR="00BC7C17" w:rsidRDefault="00BC7C17" w:rsidP="00BC7C17">
      <w:pPr>
        <w:adjustRightInd w:val="0"/>
        <w:snapToGrid w:val="0"/>
        <w:spacing w:afterLines="50" w:after="156"/>
        <w:ind w:firstLine="420"/>
        <w:rPr>
          <w:rFonts w:ascii="微软雅黑" w:eastAsia="微软雅黑" w:hAnsi="微软雅黑"/>
          <w:szCs w:val="21"/>
        </w:rPr>
      </w:pPr>
    </w:p>
    <w:p w:rsidR="00BC7C17" w:rsidRDefault="00BC7C17" w:rsidP="00BC7C17">
      <w:pPr>
        <w:adjustRightInd w:val="0"/>
        <w:snapToGrid w:val="0"/>
        <w:spacing w:afterLines="50" w:after="156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年CFA三个级别的考纲，均已经新鲜出炉。相较2017年，每个级别有了不同程度的变更。高顿CFA研究院专业的明星师资团队倾力，第一时间为你解读考纲变化，揣摩官方协会意图，令你及时树立备考风向标，把握考试动态，不做无用功！</w:t>
      </w:r>
    </w:p>
    <w:p w:rsidR="002A65A4" w:rsidRDefault="002A65A4" w:rsidP="002A65A4">
      <w:pPr>
        <w:adjustRightInd w:val="0"/>
        <w:snapToGrid w:val="0"/>
        <w:spacing w:afterLines="50" w:after="156"/>
        <w:rPr>
          <w:rFonts w:ascii="微软雅黑" w:eastAsia="微软雅黑" w:hAnsi="微软雅黑"/>
          <w:szCs w:val="21"/>
        </w:rPr>
      </w:pPr>
    </w:p>
    <w:p w:rsidR="00BC7C17" w:rsidRDefault="002A65A4" w:rsidP="002A65A4">
      <w:pPr>
        <w:adjustRightInd w:val="0"/>
        <w:snapToGrid w:val="0"/>
        <w:spacing w:afterLines="50" w:after="156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近</w:t>
      </w:r>
      <w:r w:rsidR="00BC7C17">
        <w:rPr>
          <w:rFonts w:ascii="微软雅黑" w:eastAsia="微软雅黑" w:hAnsi="微软雅黑" w:hint="eastAsia"/>
          <w:szCs w:val="21"/>
        </w:rPr>
        <w:t>几年，CFA三级的考纲并没有发生明显的变化，但是今年CFA三级考</w:t>
      </w:r>
      <w:proofErr w:type="gramStart"/>
      <w:r w:rsidR="00BC7C17">
        <w:rPr>
          <w:rFonts w:ascii="微软雅黑" w:eastAsia="微软雅黑" w:hAnsi="微软雅黑" w:hint="eastAsia"/>
          <w:szCs w:val="21"/>
        </w:rPr>
        <w:t>纲发生</w:t>
      </w:r>
      <w:proofErr w:type="gramEnd"/>
      <w:r w:rsidR="00BC7C17">
        <w:rPr>
          <w:rFonts w:ascii="微软雅黑" w:eastAsia="微软雅黑" w:hAnsi="微软雅黑" w:hint="eastAsia"/>
          <w:szCs w:val="21"/>
        </w:rPr>
        <w:t>了重大的变化</w:t>
      </w:r>
      <w:r w:rsidR="00C37803">
        <w:rPr>
          <w:rFonts w:ascii="微软雅黑" w:eastAsia="微软雅黑" w:hAnsi="微软雅黑" w:hint="eastAsia"/>
          <w:szCs w:val="21"/>
        </w:rPr>
        <w:t>，</w:t>
      </w:r>
      <w:r w:rsidR="00C37803">
        <w:rPr>
          <w:rFonts w:ascii="微软雅黑" w:eastAsia="微软雅黑" w:hAnsi="微软雅黑" w:hint="eastAsia"/>
          <w:szCs w:val="21"/>
        </w:rPr>
        <w:t>从2017年的32个Reading扩展到34个Reading</w:t>
      </w:r>
      <w:r w:rsidR="00C37803">
        <w:rPr>
          <w:rFonts w:ascii="微软雅黑" w:eastAsia="微软雅黑" w:hAnsi="微软雅黑" w:hint="eastAsia"/>
          <w:szCs w:val="21"/>
        </w:rPr>
        <w:t>。尤其是资产配置和固定收益组合管理这两部分，内容几乎完全更新。</w:t>
      </w:r>
    </w:p>
    <w:p w:rsidR="00BC7C17" w:rsidRDefault="00C37803" w:rsidP="00BC7C17">
      <w:pPr>
        <w:adjustRightInd w:val="0"/>
        <w:snapToGrid w:val="0"/>
        <w:spacing w:afterLines="50" w:after="156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具体来说</w:t>
      </w:r>
      <w:r w:rsidR="00BC7C17">
        <w:rPr>
          <w:rFonts w:ascii="微软雅黑" w:eastAsia="微软雅黑" w:hAnsi="微软雅黑" w:hint="eastAsia"/>
          <w:szCs w:val="21"/>
        </w:rPr>
        <w:t>，主要的变化为：</w:t>
      </w:r>
    </w:p>
    <w:p w:rsidR="00BC7C17" w:rsidRDefault="002A65A4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私人财富管理（</w:t>
      </w:r>
      <w:r>
        <w:rPr>
          <w:rFonts w:ascii="微软雅黑" w:eastAsia="微软雅黑" w:hAnsi="微软雅黑" w:hint="eastAsia"/>
          <w:szCs w:val="21"/>
        </w:rPr>
        <w:t>Se</w:t>
      </w:r>
      <w:r>
        <w:rPr>
          <w:rFonts w:ascii="微软雅黑" w:eastAsia="微软雅黑" w:hAnsi="微软雅黑"/>
          <w:szCs w:val="21"/>
        </w:rPr>
        <w:t>ssion 4</w:t>
      </w:r>
      <w:r>
        <w:rPr>
          <w:rFonts w:ascii="微软雅黑" w:eastAsia="微软雅黑" w:hAnsi="微软雅黑"/>
          <w:szCs w:val="21"/>
        </w:rPr>
        <w:t xml:space="preserve">: </w:t>
      </w:r>
      <w:r>
        <w:rPr>
          <w:rFonts w:ascii="微软雅黑" w:eastAsia="微软雅黑" w:hAnsi="微软雅黑"/>
          <w:szCs w:val="21"/>
        </w:rPr>
        <w:t>Private Wealth Management</w:t>
      </w:r>
      <w:r>
        <w:rPr>
          <w:rFonts w:ascii="微软雅黑" w:eastAsia="微软雅黑" w:hAnsi="微软雅黑" w:hint="eastAsia"/>
          <w:szCs w:val="21"/>
        </w:rPr>
        <w:t>）发生</w:t>
      </w:r>
      <w:r w:rsidR="00BC7C17">
        <w:rPr>
          <w:rFonts w:ascii="微软雅黑" w:eastAsia="微软雅黑" w:hAnsi="微软雅黑" w:hint="eastAsia"/>
          <w:szCs w:val="21"/>
        </w:rPr>
        <w:t>小幅度变化</w:t>
      </w:r>
    </w:p>
    <w:p w:rsidR="00BC7C17" w:rsidRDefault="00BC7C17" w:rsidP="00BC7C17">
      <w:pPr>
        <w:pStyle w:val="ab"/>
        <w:numPr>
          <w:ilvl w:val="1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757FD3">
        <w:rPr>
          <w:rFonts w:ascii="微软雅黑" w:eastAsia="微软雅黑" w:hAnsi="微软雅黑" w:hint="eastAsia"/>
          <w:szCs w:val="21"/>
        </w:rPr>
        <w:t>Reading</w:t>
      </w:r>
      <w:r w:rsidRPr="00757FD3">
        <w:rPr>
          <w:rFonts w:ascii="微软雅黑" w:eastAsia="微软雅黑" w:hAnsi="微软雅黑"/>
          <w:szCs w:val="21"/>
        </w:rPr>
        <w:t xml:space="preserve"> 9 </w:t>
      </w:r>
      <w:r w:rsidRPr="00757FD3">
        <w:rPr>
          <w:rFonts w:ascii="微软雅黑" w:eastAsia="微软雅黑" w:hAnsi="微软雅黑" w:hint="eastAsia"/>
          <w:szCs w:val="21"/>
        </w:rPr>
        <w:t>Ta</w:t>
      </w:r>
      <w:r w:rsidRPr="00757FD3">
        <w:rPr>
          <w:rFonts w:ascii="微软雅黑" w:eastAsia="微软雅黑" w:hAnsi="微软雅黑"/>
          <w:szCs w:val="21"/>
        </w:rPr>
        <w:t xml:space="preserve">xes and Private Wealth Management </w:t>
      </w:r>
      <w:r w:rsidRPr="00757FD3">
        <w:rPr>
          <w:rFonts w:ascii="微软雅黑" w:eastAsia="微软雅黑" w:hAnsi="微软雅黑" w:hint="eastAsia"/>
          <w:szCs w:val="21"/>
        </w:rPr>
        <w:t>in</w:t>
      </w:r>
      <w:r w:rsidRPr="00757FD3">
        <w:rPr>
          <w:rFonts w:ascii="微软雅黑" w:eastAsia="微软雅黑" w:hAnsi="微软雅黑"/>
          <w:szCs w:val="21"/>
        </w:rPr>
        <w:t xml:space="preserve"> a Global Context </w:t>
      </w:r>
      <w:r w:rsidRPr="00757FD3">
        <w:rPr>
          <w:rFonts w:ascii="微软雅黑" w:eastAsia="微软雅黑" w:hAnsi="微软雅黑" w:hint="eastAsia"/>
          <w:szCs w:val="21"/>
        </w:rPr>
        <w:t>中：</w:t>
      </w:r>
    </w:p>
    <w:p w:rsidR="00BC7C17" w:rsidRDefault="00BC7C17" w:rsidP="00BC7C17">
      <w:pPr>
        <w:pStyle w:val="ab"/>
        <w:numPr>
          <w:ilvl w:val="2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757FD3">
        <w:rPr>
          <w:rFonts w:ascii="微软雅黑" w:eastAsia="微软雅黑" w:hAnsi="微软雅黑"/>
          <w:szCs w:val="21"/>
        </w:rPr>
        <w:t xml:space="preserve">c. </w:t>
      </w:r>
      <w:proofErr w:type="gramStart"/>
      <w:r w:rsidRPr="00757FD3">
        <w:rPr>
          <w:rFonts w:ascii="微软雅黑" w:eastAsia="微软雅黑" w:hAnsi="微软雅黑"/>
          <w:szCs w:val="21"/>
        </w:rPr>
        <w:t>calculate</w:t>
      </w:r>
      <w:proofErr w:type="gramEnd"/>
      <w:r w:rsidRPr="00757FD3">
        <w:rPr>
          <w:rFonts w:ascii="微软雅黑" w:eastAsia="微软雅黑" w:hAnsi="微软雅黑"/>
          <w:szCs w:val="21"/>
        </w:rPr>
        <w:t xml:space="preserve"> accrual equivalent tax rates and after-tax returns </w:t>
      </w:r>
      <w:r w:rsidRPr="00757FD3">
        <w:rPr>
          <w:rFonts w:ascii="微软雅黑" w:eastAsia="微软雅黑" w:hAnsi="微软雅黑" w:hint="eastAsia"/>
          <w:szCs w:val="21"/>
        </w:rPr>
        <w:t>考点删除</w:t>
      </w:r>
      <w:r w:rsidR="002A65A4">
        <w:rPr>
          <w:rFonts w:ascii="微软雅黑" w:eastAsia="微软雅黑" w:hAnsi="微软雅黑" w:hint="eastAsia"/>
          <w:szCs w:val="21"/>
        </w:rPr>
        <w:t>。</w:t>
      </w:r>
    </w:p>
    <w:p w:rsidR="00BC7C17" w:rsidRPr="00757FD3" w:rsidRDefault="00BC7C17" w:rsidP="00BC7C17">
      <w:pPr>
        <w:pStyle w:val="ab"/>
        <w:numPr>
          <w:ilvl w:val="2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757FD3">
        <w:rPr>
          <w:rFonts w:ascii="微软雅黑" w:eastAsia="微软雅黑" w:hAnsi="微软雅黑"/>
          <w:szCs w:val="21"/>
        </w:rPr>
        <w:t xml:space="preserve">g. </w:t>
      </w:r>
      <w:proofErr w:type="gramStart"/>
      <w:r w:rsidRPr="00757FD3">
        <w:rPr>
          <w:rFonts w:ascii="微软雅黑" w:eastAsia="微软雅黑" w:hAnsi="微软雅黑"/>
          <w:szCs w:val="21"/>
        </w:rPr>
        <w:t>explain</w:t>
      </w:r>
      <w:proofErr w:type="gramEnd"/>
      <w:r w:rsidRPr="00757FD3">
        <w:rPr>
          <w:rFonts w:ascii="微软雅黑" w:eastAsia="微软雅黑" w:hAnsi="微软雅黑"/>
          <w:szCs w:val="21"/>
        </w:rPr>
        <w:t xml:space="preserve"> tax loss harvesting and highest-in/first-out (HIFO) tax lot accounting </w:t>
      </w:r>
      <w:r w:rsidR="002A65A4">
        <w:rPr>
          <w:rFonts w:ascii="微软雅黑" w:eastAsia="微软雅黑" w:hAnsi="微软雅黑" w:hint="eastAsia"/>
          <w:szCs w:val="21"/>
        </w:rPr>
        <w:t>更换表达方式。</w:t>
      </w:r>
    </w:p>
    <w:p w:rsidR="00BC7C17" w:rsidRDefault="002A65A4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机构投资者的组合管理（S</w:t>
      </w:r>
      <w:r>
        <w:rPr>
          <w:rFonts w:ascii="微软雅黑" w:eastAsia="微软雅黑" w:hAnsi="微软雅黑"/>
          <w:szCs w:val="21"/>
        </w:rPr>
        <w:t xml:space="preserve">ession 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/>
          <w:szCs w:val="21"/>
        </w:rPr>
        <w:t>: Portfolio Management for Institutional Investors</w:t>
      </w:r>
      <w:r>
        <w:rPr>
          <w:rFonts w:ascii="微软雅黑" w:eastAsia="微软雅黑" w:hAnsi="微软雅黑" w:hint="eastAsia"/>
          <w:szCs w:val="21"/>
        </w:rPr>
        <w:t>）</w:t>
      </w:r>
      <w:r w:rsidR="00BC7C17">
        <w:rPr>
          <w:rFonts w:ascii="微软雅黑" w:eastAsia="微软雅黑" w:hAnsi="微软雅黑" w:hint="eastAsia"/>
          <w:szCs w:val="21"/>
        </w:rPr>
        <w:t>删除</w:t>
      </w:r>
      <w:r>
        <w:rPr>
          <w:rFonts w:ascii="微软雅黑" w:eastAsia="微软雅黑" w:hAnsi="微软雅黑" w:hint="eastAsia"/>
          <w:szCs w:val="21"/>
        </w:rPr>
        <w:t>了原来的</w:t>
      </w:r>
      <w:r w:rsidR="00BC7C17">
        <w:rPr>
          <w:rFonts w:ascii="微软雅黑" w:eastAsia="微软雅黑" w:hAnsi="微软雅黑" w:hint="eastAsia"/>
          <w:szCs w:val="21"/>
        </w:rPr>
        <w:t xml:space="preserve"> R</w:t>
      </w:r>
      <w:r w:rsidR="00BC7C17">
        <w:rPr>
          <w:rFonts w:ascii="微软雅黑" w:eastAsia="微软雅黑" w:hAnsi="微软雅黑"/>
          <w:szCs w:val="21"/>
        </w:rPr>
        <w:t>e</w:t>
      </w:r>
      <w:r w:rsidR="00BC7C17">
        <w:rPr>
          <w:rFonts w:ascii="微软雅黑" w:eastAsia="微软雅黑" w:hAnsi="微软雅黑" w:hint="eastAsia"/>
          <w:szCs w:val="21"/>
        </w:rPr>
        <w:t>ading</w:t>
      </w:r>
      <w:r w:rsidR="00BC7C17" w:rsidRPr="005A48C6">
        <w:rPr>
          <w:rFonts w:ascii="微软雅黑" w:eastAsia="微软雅黑" w:hAnsi="微软雅黑"/>
          <w:szCs w:val="21"/>
        </w:rPr>
        <w:t xml:space="preserve"> 14. </w:t>
      </w:r>
      <w:r w:rsidR="00BC7C17">
        <w:rPr>
          <w:rFonts w:ascii="微软雅黑" w:eastAsia="微软雅黑" w:hAnsi="微软雅黑"/>
          <w:szCs w:val="21"/>
        </w:rPr>
        <w:t>Linking Pension Liabilities to Assets</w:t>
      </w:r>
    </w:p>
    <w:p w:rsidR="00BC7C17" w:rsidRPr="00757FD3" w:rsidRDefault="00323A79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经济分析在组合管理管理中的应用（</w:t>
      </w:r>
      <w:r>
        <w:rPr>
          <w:rFonts w:ascii="微软雅黑" w:eastAsia="微软雅黑" w:hAnsi="微软雅黑" w:hint="eastAsia"/>
          <w:szCs w:val="21"/>
        </w:rPr>
        <w:t>Section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7: Application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of Economic Analysis to Portfolio Management</w:t>
      </w:r>
      <w:r>
        <w:rPr>
          <w:rFonts w:ascii="微软雅黑" w:eastAsia="微软雅黑" w:hAnsi="微软雅黑" w:hint="eastAsia"/>
          <w:szCs w:val="21"/>
        </w:rPr>
        <w:t>）</w:t>
      </w:r>
      <w:r w:rsidR="00BC7C17">
        <w:rPr>
          <w:rFonts w:ascii="微软雅黑" w:eastAsia="微软雅黑" w:hAnsi="微软雅黑" w:hint="eastAsia"/>
          <w:szCs w:val="21"/>
        </w:rPr>
        <w:t>中</w:t>
      </w:r>
      <w:r w:rsidR="00BC7C17" w:rsidRPr="00757FD3">
        <w:rPr>
          <w:rFonts w:ascii="微软雅黑" w:eastAsia="微软雅黑" w:hAnsi="微软雅黑" w:hint="eastAsia"/>
          <w:szCs w:val="21"/>
        </w:rPr>
        <w:t>Reading</w:t>
      </w:r>
      <w:r w:rsidR="00BC7C17" w:rsidRPr="00757FD3">
        <w:rPr>
          <w:rFonts w:ascii="微软雅黑" w:eastAsia="微软雅黑" w:hAnsi="微软雅黑"/>
          <w:szCs w:val="21"/>
        </w:rPr>
        <w:t xml:space="preserve"> 14 </w:t>
      </w:r>
      <w:r w:rsidR="00BC7C17" w:rsidRPr="00757FD3">
        <w:rPr>
          <w:rFonts w:ascii="微软雅黑" w:eastAsia="微软雅黑" w:hAnsi="微软雅黑" w:hint="eastAsia"/>
          <w:szCs w:val="21"/>
        </w:rPr>
        <w:t>Capital</w:t>
      </w:r>
      <w:r w:rsidR="00BC7C17" w:rsidRPr="00757FD3">
        <w:rPr>
          <w:rFonts w:ascii="微软雅黑" w:eastAsia="微软雅黑" w:hAnsi="微软雅黑"/>
          <w:szCs w:val="21"/>
        </w:rPr>
        <w:t xml:space="preserve"> Market Expectation</w:t>
      </w:r>
      <w:r w:rsidR="00BC7C17" w:rsidRPr="00757FD3">
        <w:rPr>
          <w:rFonts w:ascii="微软雅黑" w:eastAsia="微软雅黑" w:hAnsi="微软雅黑" w:hint="eastAsia"/>
          <w:szCs w:val="21"/>
        </w:rPr>
        <w:t xml:space="preserve">的 </w:t>
      </w:r>
      <w:proofErr w:type="spellStart"/>
      <w:r w:rsidR="00BC7C17" w:rsidRPr="00757FD3">
        <w:rPr>
          <w:rFonts w:ascii="微软雅黑" w:eastAsia="微软雅黑" w:hAnsi="微软雅黑"/>
          <w:szCs w:val="21"/>
        </w:rPr>
        <w:t>i</w:t>
      </w:r>
      <w:proofErr w:type="spellEnd"/>
      <w:r w:rsidR="00BC7C17" w:rsidRPr="00757FD3">
        <w:rPr>
          <w:rFonts w:ascii="微软雅黑" w:eastAsia="微软雅黑" w:hAnsi="微软雅黑"/>
          <w:szCs w:val="21"/>
        </w:rPr>
        <w:t xml:space="preserve"> </w:t>
      </w:r>
      <w:r w:rsidR="00BC7C17" w:rsidRPr="00757FD3">
        <w:rPr>
          <w:rFonts w:ascii="微软雅黑" w:eastAsia="微软雅黑" w:hAnsi="微软雅黑" w:hint="eastAsia"/>
          <w:szCs w:val="21"/>
        </w:rPr>
        <w:t>点发生变化，对yield</w:t>
      </w:r>
      <w:r w:rsidR="00BC7C17" w:rsidRPr="00757FD3">
        <w:rPr>
          <w:rFonts w:ascii="微软雅黑" w:eastAsia="微软雅黑" w:hAnsi="微软雅黑"/>
          <w:szCs w:val="21"/>
        </w:rPr>
        <w:t xml:space="preserve"> curve </w:t>
      </w:r>
      <w:r w:rsidR="00BC7C17" w:rsidRPr="00757FD3">
        <w:rPr>
          <w:rFonts w:ascii="微软雅黑" w:eastAsia="微软雅黑" w:hAnsi="微软雅黑" w:hint="eastAsia"/>
          <w:szCs w:val="21"/>
        </w:rPr>
        <w:t>的掌握要求提高了。</w:t>
      </w:r>
    </w:p>
    <w:tbl>
      <w:tblPr>
        <w:tblW w:w="0" w:type="auto"/>
        <w:tblInd w:w="9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16"/>
        <w:gridCol w:w="4447"/>
      </w:tblGrid>
      <w:tr w:rsidR="00BC7C17" w:rsidRPr="00323A79" w:rsidTr="0084662C">
        <w:trPr>
          <w:trHeight w:val="465"/>
        </w:trPr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C17" w:rsidRPr="00323A79" w:rsidRDefault="00BC7C17" w:rsidP="00BE41A2">
            <w:pPr>
              <w:widowControl/>
              <w:jc w:val="left"/>
              <w:rPr>
                <w:rFonts w:cs="Calibri"/>
                <w:color w:val="231F20"/>
                <w:kern w:val="0"/>
                <w:sz w:val="24"/>
                <w:szCs w:val="18"/>
              </w:rPr>
            </w:pPr>
            <w:proofErr w:type="spellStart"/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>i</w:t>
            </w:r>
            <w:proofErr w:type="spellEnd"/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 xml:space="preserve">.  </w:t>
            </w:r>
            <w:r w:rsidRPr="00323A79">
              <w:rPr>
                <w:rFonts w:cs="Calibri"/>
                <w:color w:val="FF0000"/>
                <w:kern w:val="0"/>
                <w:sz w:val="24"/>
                <w:szCs w:val="18"/>
              </w:rPr>
              <w:t>evaluate</w:t>
            </w:r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 xml:space="preserve"> 1) the shape of the yield curve as an economic predictor and 2) the relationship between the yield curve and fiscal and monetary policy;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C17" w:rsidRPr="00323A79" w:rsidRDefault="00BC7C17" w:rsidP="00BE41A2">
            <w:pPr>
              <w:widowControl/>
              <w:jc w:val="left"/>
              <w:rPr>
                <w:rFonts w:cs="Calibri"/>
                <w:color w:val="231F20"/>
                <w:kern w:val="0"/>
                <w:sz w:val="24"/>
                <w:szCs w:val="18"/>
              </w:rPr>
            </w:pPr>
            <w:proofErr w:type="spellStart"/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>i</w:t>
            </w:r>
            <w:proofErr w:type="spellEnd"/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 xml:space="preserve">.   </w:t>
            </w:r>
            <w:r w:rsidRPr="00323A79">
              <w:rPr>
                <w:rFonts w:cs="Calibri"/>
                <w:color w:val="FF0000"/>
                <w:kern w:val="0"/>
                <w:sz w:val="24"/>
                <w:szCs w:val="18"/>
              </w:rPr>
              <w:t>interpret</w:t>
            </w:r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 xml:space="preserve"> the shape of the yield curve as an economic predictor and </w:t>
            </w:r>
            <w:r w:rsidRPr="00323A79">
              <w:rPr>
                <w:rFonts w:cs="Calibri"/>
                <w:color w:val="FF0000"/>
                <w:kern w:val="0"/>
                <w:sz w:val="24"/>
                <w:szCs w:val="18"/>
              </w:rPr>
              <w:t>discuss</w:t>
            </w:r>
            <w:r w:rsidRPr="00323A79">
              <w:rPr>
                <w:rFonts w:cs="Calibri"/>
                <w:color w:val="231F20"/>
                <w:kern w:val="0"/>
                <w:sz w:val="24"/>
                <w:szCs w:val="18"/>
              </w:rPr>
              <w:t xml:space="preserve"> the relationship between the yield curve and fiscal and monetary policy;</w:t>
            </w:r>
          </w:p>
        </w:tc>
      </w:tr>
    </w:tbl>
    <w:p w:rsidR="00BC7C17" w:rsidRDefault="00BC7C17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EC42CA">
        <w:rPr>
          <w:rFonts w:ascii="微软雅黑" w:eastAsia="微软雅黑" w:hAnsi="微软雅黑" w:hint="eastAsia"/>
          <w:szCs w:val="21"/>
        </w:rPr>
        <w:t>资产配置</w:t>
      </w:r>
      <w:r>
        <w:rPr>
          <w:rFonts w:ascii="微软雅黑" w:eastAsia="微软雅黑" w:hAnsi="微软雅黑" w:hint="eastAsia"/>
          <w:szCs w:val="21"/>
        </w:rPr>
        <w:t>（Session 8-Session</w:t>
      </w:r>
      <w:r w:rsidR="00D02A0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9: Asset Allocation and </w:t>
      </w:r>
      <w:r>
        <w:rPr>
          <w:rFonts w:ascii="微软雅黑" w:eastAsia="微软雅黑" w:hAnsi="微软雅黑"/>
          <w:szCs w:val="21"/>
        </w:rPr>
        <w:t>Related Decisions in Portfolio Management）</w:t>
      </w:r>
      <w:r w:rsidR="006A6444">
        <w:rPr>
          <w:rFonts w:ascii="微软雅黑" w:eastAsia="微软雅黑" w:hAnsi="微软雅黑" w:hint="eastAsia"/>
          <w:szCs w:val="21"/>
        </w:rPr>
        <w:t>变化很大：</w:t>
      </w:r>
      <w:bookmarkStart w:id="0" w:name="_GoBack"/>
      <w:bookmarkEnd w:id="0"/>
      <w:r w:rsidRPr="00EC42CA">
        <w:rPr>
          <w:rFonts w:ascii="微软雅黑" w:eastAsia="微软雅黑" w:hAnsi="微软雅黑" w:hint="eastAsia"/>
          <w:szCs w:val="21"/>
        </w:rPr>
        <w:t>从2个session</w:t>
      </w:r>
      <w:r w:rsidRPr="00EC42CA">
        <w:rPr>
          <w:rFonts w:ascii="微软雅黑" w:eastAsia="微软雅黑" w:hAnsi="微软雅黑"/>
          <w:szCs w:val="21"/>
        </w:rPr>
        <w:t xml:space="preserve"> 3</w:t>
      </w:r>
      <w:r w:rsidRPr="00EC42CA">
        <w:rPr>
          <w:rFonts w:ascii="微软雅黑" w:eastAsia="微软雅黑" w:hAnsi="微软雅黑" w:hint="eastAsia"/>
          <w:szCs w:val="21"/>
        </w:rPr>
        <w:t>个reading变成了2个session</w:t>
      </w:r>
      <w:r w:rsidRPr="00EC42CA">
        <w:rPr>
          <w:rFonts w:ascii="微软雅黑" w:eastAsia="微软雅黑" w:hAnsi="微软雅黑"/>
          <w:szCs w:val="21"/>
        </w:rPr>
        <w:t>5</w:t>
      </w:r>
      <w:r w:rsidRPr="00EC42CA">
        <w:rPr>
          <w:rFonts w:ascii="微软雅黑" w:eastAsia="微软雅黑" w:hAnsi="微软雅黑" w:hint="eastAsia"/>
          <w:szCs w:val="21"/>
        </w:rPr>
        <w:t xml:space="preserve">个reading。 </w:t>
      </w:r>
    </w:p>
    <w:p w:rsidR="00C37803" w:rsidRDefault="00BC7C17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C37803">
        <w:rPr>
          <w:rFonts w:ascii="微软雅黑" w:eastAsia="微软雅黑" w:hAnsi="微软雅黑" w:hint="eastAsia"/>
          <w:szCs w:val="21"/>
        </w:rPr>
        <w:t>固定收益的组合管理（Session 10-Session11:</w:t>
      </w:r>
      <w:r w:rsidRPr="00C37803">
        <w:rPr>
          <w:rFonts w:ascii="微软雅黑" w:eastAsia="微软雅黑" w:hAnsi="微软雅黑"/>
          <w:szCs w:val="21"/>
        </w:rPr>
        <w:t xml:space="preserve"> </w:t>
      </w:r>
      <w:r w:rsidRPr="00C37803">
        <w:rPr>
          <w:rFonts w:ascii="微软雅黑" w:eastAsia="微软雅黑" w:hAnsi="微软雅黑" w:hint="eastAsia"/>
          <w:szCs w:val="21"/>
        </w:rPr>
        <w:t>Fixed</w:t>
      </w:r>
      <w:r w:rsidRPr="00C37803">
        <w:rPr>
          <w:rFonts w:ascii="微软雅黑" w:eastAsia="微软雅黑" w:hAnsi="微软雅黑"/>
          <w:szCs w:val="21"/>
        </w:rPr>
        <w:t>-Income Portfolio Management</w:t>
      </w:r>
      <w:r w:rsidRPr="00C37803">
        <w:rPr>
          <w:rFonts w:ascii="微软雅黑" w:eastAsia="微软雅黑" w:hAnsi="微软雅黑" w:hint="eastAsia"/>
          <w:szCs w:val="21"/>
        </w:rPr>
        <w:t>）</w:t>
      </w:r>
      <w:r w:rsidR="006A6444">
        <w:rPr>
          <w:rFonts w:ascii="微软雅黑" w:eastAsia="微软雅黑" w:hAnsi="微软雅黑" w:hint="eastAsia"/>
          <w:szCs w:val="21"/>
        </w:rPr>
        <w:t>变化很大：</w:t>
      </w:r>
      <w:r w:rsidRPr="00C37803">
        <w:rPr>
          <w:rFonts w:ascii="微软雅黑" w:eastAsia="微软雅黑" w:hAnsi="微软雅黑" w:hint="eastAsia"/>
          <w:szCs w:val="21"/>
        </w:rPr>
        <w:t>从2个se</w:t>
      </w:r>
      <w:r w:rsidRPr="00C37803">
        <w:rPr>
          <w:rFonts w:ascii="微软雅黑" w:eastAsia="微软雅黑" w:hAnsi="微软雅黑"/>
          <w:szCs w:val="21"/>
        </w:rPr>
        <w:t xml:space="preserve">ssion </w:t>
      </w:r>
      <w:r w:rsidR="006A6444">
        <w:rPr>
          <w:rFonts w:ascii="微软雅黑" w:eastAsia="微软雅黑" w:hAnsi="微软雅黑" w:hint="eastAsia"/>
          <w:szCs w:val="21"/>
        </w:rPr>
        <w:t>的</w:t>
      </w:r>
      <w:r w:rsidRPr="00C37803">
        <w:rPr>
          <w:rFonts w:ascii="微软雅黑" w:eastAsia="微软雅黑" w:hAnsi="微软雅黑"/>
          <w:szCs w:val="21"/>
        </w:rPr>
        <w:t>3</w:t>
      </w:r>
      <w:r w:rsidRPr="00C37803">
        <w:rPr>
          <w:rFonts w:ascii="微软雅黑" w:eastAsia="微软雅黑" w:hAnsi="微软雅黑" w:hint="eastAsia"/>
          <w:szCs w:val="21"/>
        </w:rPr>
        <w:t>个reading变成2个sessi</w:t>
      </w:r>
      <w:r w:rsidRPr="00C37803">
        <w:rPr>
          <w:rFonts w:ascii="微软雅黑" w:eastAsia="微软雅黑" w:hAnsi="微软雅黑"/>
          <w:szCs w:val="21"/>
        </w:rPr>
        <w:t xml:space="preserve">on </w:t>
      </w:r>
      <w:r w:rsidR="006A6444">
        <w:rPr>
          <w:rFonts w:ascii="微软雅黑" w:eastAsia="微软雅黑" w:hAnsi="微软雅黑" w:hint="eastAsia"/>
          <w:szCs w:val="21"/>
        </w:rPr>
        <w:t>的</w:t>
      </w:r>
      <w:r w:rsidRPr="00C37803">
        <w:rPr>
          <w:rFonts w:ascii="微软雅黑" w:eastAsia="微软雅黑" w:hAnsi="微软雅黑"/>
          <w:szCs w:val="21"/>
        </w:rPr>
        <w:t>4</w:t>
      </w:r>
      <w:r w:rsidRPr="00C37803">
        <w:rPr>
          <w:rFonts w:ascii="微软雅黑" w:eastAsia="微软雅黑" w:hAnsi="微软雅黑" w:hint="eastAsia"/>
          <w:szCs w:val="21"/>
        </w:rPr>
        <w:t>个reading 。</w:t>
      </w:r>
    </w:p>
    <w:p w:rsidR="00BC7C17" w:rsidRPr="00C37803" w:rsidRDefault="00D02A09" w:rsidP="00BC7C17">
      <w:pPr>
        <w:pStyle w:val="ab"/>
        <w:numPr>
          <w:ilvl w:val="0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Cs w:val="21"/>
        </w:rPr>
      </w:pPr>
      <w:r w:rsidRPr="00C37803">
        <w:rPr>
          <w:rFonts w:ascii="微软雅黑" w:eastAsia="微软雅黑" w:hAnsi="微软雅黑" w:hint="eastAsia"/>
          <w:szCs w:val="21"/>
        </w:rPr>
        <w:t>组合管理中的另类投资（</w:t>
      </w:r>
      <w:r w:rsidRPr="00C37803">
        <w:rPr>
          <w:rFonts w:ascii="微软雅黑" w:eastAsia="微软雅黑" w:hAnsi="微软雅黑" w:hint="eastAsia"/>
          <w:szCs w:val="21"/>
        </w:rPr>
        <w:t>S</w:t>
      </w:r>
      <w:r w:rsidRPr="00C37803">
        <w:rPr>
          <w:rFonts w:ascii="微软雅黑" w:eastAsia="微软雅黑" w:hAnsi="微软雅黑"/>
          <w:szCs w:val="21"/>
        </w:rPr>
        <w:t xml:space="preserve">ession 13: </w:t>
      </w:r>
      <w:r w:rsidRPr="00C37803">
        <w:rPr>
          <w:rFonts w:ascii="微软雅黑" w:eastAsia="微软雅黑" w:hAnsi="微软雅黑" w:hint="eastAsia"/>
          <w:szCs w:val="21"/>
        </w:rPr>
        <w:t>Alternative</w:t>
      </w:r>
      <w:r w:rsidRPr="00C37803">
        <w:rPr>
          <w:rFonts w:ascii="微软雅黑" w:eastAsia="微软雅黑" w:hAnsi="微软雅黑"/>
          <w:szCs w:val="21"/>
        </w:rPr>
        <w:t xml:space="preserve"> Investments for </w:t>
      </w:r>
      <w:r w:rsidRPr="00C37803">
        <w:rPr>
          <w:rFonts w:ascii="微软雅黑" w:eastAsia="微软雅黑" w:hAnsi="微软雅黑"/>
          <w:szCs w:val="21"/>
        </w:rPr>
        <w:t>Portfolio</w:t>
      </w:r>
      <w:r w:rsidRPr="00C37803">
        <w:rPr>
          <w:rFonts w:ascii="微软雅黑" w:eastAsia="微软雅黑" w:hAnsi="微软雅黑"/>
          <w:szCs w:val="21"/>
        </w:rPr>
        <w:t xml:space="preserve"> Management</w:t>
      </w:r>
      <w:r w:rsidRPr="00C37803">
        <w:rPr>
          <w:rFonts w:ascii="微软雅黑" w:eastAsia="微软雅黑" w:hAnsi="微软雅黑" w:hint="eastAsia"/>
          <w:szCs w:val="21"/>
        </w:rPr>
        <w:t>）</w:t>
      </w:r>
      <w:r w:rsidR="00BC7C17" w:rsidRPr="00C37803">
        <w:rPr>
          <w:rFonts w:ascii="微软雅黑" w:eastAsia="微软雅黑" w:hAnsi="微软雅黑" w:hint="eastAsia"/>
          <w:szCs w:val="21"/>
        </w:rPr>
        <w:t>中Reading</w:t>
      </w:r>
      <w:r w:rsidR="00BC7C17" w:rsidRPr="00C37803">
        <w:rPr>
          <w:rFonts w:ascii="微软雅黑" w:eastAsia="微软雅黑" w:hAnsi="微软雅黑"/>
          <w:szCs w:val="21"/>
        </w:rPr>
        <w:t xml:space="preserve"> 26 </w:t>
      </w:r>
      <w:r w:rsidR="00BC7C17" w:rsidRPr="00C37803">
        <w:rPr>
          <w:rFonts w:ascii="微软雅黑" w:eastAsia="微软雅黑" w:hAnsi="微软雅黑" w:hint="eastAsia"/>
          <w:szCs w:val="21"/>
        </w:rPr>
        <w:t>A</w:t>
      </w:r>
      <w:r w:rsidR="00BC7C17" w:rsidRPr="00C37803">
        <w:rPr>
          <w:rFonts w:ascii="微软雅黑" w:eastAsia="微软雅黑" w:hAnsi="微软雅黑"/>
          <w:szCs w:val="21"/>
        </w:rPr>
        <w:t xml:space="preserve">lternative Investments Portfolio Management </w:t>
      </w:r>
      <w:r w:rsidR="00BC7C17" w:rsidRPr="00C37803">
        <w:rPr>
          <w:rFonts w:ascii="微软雅黑" w:eastAsia="微软雅黑" w:hAnsi="微软雅黑" w:hint="eastAsia"/>
          <w:szCs w:val="21"/>
        </w:rPr>
        <w:t>的第 n 点被删除；</w:t>
      </w:r>
    </w:p>
    <w:p w:rsidR="00BC7C17" w:rsidRPr="00D02A09" w:rsidRDefault="00BC7C17" w:rsidP="00BC7C17">
      <w:pPr>
        <w:pStyle w:val="ab"/>
        <w:numPr>
          <w:ilvl w:val="1"/>
          <w:numId w:val="2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z w:val="32"/>
          <w:szCs w:val="21"/>
        </w:rPr>
      </w:pPr>
      <w:r w:rsidRPr="00D02A09">
        <w:rPr>
          <w:rFonts w:ascii="Calibri" w:eastAsia="宋体" w:hAnsi="Calibri" w:cs="Calibri"/>
          <w:color w:val="231F20"/>
          <w:kern w:val="0"/>
          <w:sz w:val="24"/>
          <w:szCs w:val="18"/>
        </w:rPr>
        <w:t xml:space="preserve">n.  explain the three components of return for a commodity futures contract and </w:t>
      </w:r>
      <w:r w:rsidRPr="00D02A09">
        <w:rPr>
          <w:rFonts w:ascii="Calibri" w:eastAsia="宋体" w:hAnsi="Calibri" w:cs="Calibri"/>
          <w:color w:val="231F20"/>
          <w:kern w:val="0"/>
          <w:sz w:val="24"/>
          <w:szCs w:val="18"/>
        </w:rPr>
        <w:lastRenderedPageBreak/>
        <w:t>the effect that an upward- or downward-sloping term structure of futures prices will have on roll yield;</w:t>
      </w:r>
    </w:p>
    <w:p w:rsidR="00BC7C17" w:rsidRPr="00D02A09" w:rsidRDefault="00BC7C17" w:rsidP="00BC7C17">
      <w:pPr>
        <w:ind w:firstLine="420"/>
        <w:rPr>
          <w:sz w:val="32"/>
        </w:rPr>
      </w:pPr>
    </w:p>
    <w:p w:rsidR="001E1A29" w:rsidRPr="00BC7C17" w:rsidRDefault="001E1A29" w:rsidP="00BC7C17"/>
    <w:sectPr w:rsidR="001E1A29" w:rsidRPr="00BC7C17">
      <w:headerReference w:type="default" r:id="rId10"/>
      <w:footerReference w:type="default" r:id="rId11"/>
      <w:pgSz w:w="11906" w:h="16838"/>
      <w:pgMar w:top="1440" w:right="1133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AF2" w:rsidRDefault="00837AF2">
      <w:r>
        <w:separator/>
      </w:r>
    </w:p>
  </w:endnote>
  <w:endnote w:type="continuationSeparator" w:id="0">
    <w:p w:rsidR="00837AF2" w:rsidRDefault="0083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29" w:rsidRDefault="00837AF2">
    <w:pPr>
      <w:pStyle w:val="a5"/>
      <w:pBdr>
        <w:top w:val="single" w:sz="4" w:space="1" w:color="A5A5A5" w:themeColor="background1" w:themeShade="A5"/>
      </w:pBdr>
      <w:jc w:val="center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433.15pt;margin-top:-16.65pt;width:41.3pt;height:18.25pt;z-index:251697152;mso-width-relative:page;mso-height-relative:page" o:gfxdata="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tFjE&#10;2AAAAAkBAAAPAAAAAAAAAAEAIAAAACIAAABkcnMvZG93bnJldi54bWxQSwECFAAUAAAACACHTuJA&#10;xZ6My68BAAA+AwAADgAAAAAAAAABACAAAAAnAQAAZHJzL2Uyb0RvYy54bWxQSwUGAAAAAAYABgBZ&#10;AQAASAUAAAAA&#10;" filled="f" stroked="f">
          <v:textbox inset=",0,,0">
            <w:txbxContent>
              <w:p w:rsidR="001E1A29" w:rsidRDefault="00837AF2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6A6444" w:rsidRPr="006A6444">
                  <w:rPr>
                    <w:noProof/>
                    <w:lang w:val="zh-CN"/>
                  </w:rPr>
                  <w:t>2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text/>
      </w:sdtPr>
      <w:sdtEndPr/>
      <w:sdtContent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http://finance.gaodun.cn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1E1A29" w:rsidRDefault="001E1A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AF2" w:rsidRDefault="00837AF2">
      <w:r>
        <w:separator/>
      </w:r>
    </w:p>
  </w:footnote>
  <w:footnote w:type="continuationSeparator" w:id="0">
    <w:p w:rsidR="00837AF2" w:rsidRDefault="00837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29" w:rsidRDefault="00837AF2">
    <w:pPr>
      <w:pStyle w:val="a7"/>
    </w:pPr>
    <w:r>
      <w:rPr>
        <w:noProof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-71120</wp:posOffset>
          </wp:positionV>
          <wp:extent cx="3352800" cy="463550"/>
          <wp:effectExtent l="0" t="0" r="0" b="12700"/>
          <wp:wrapSquare wrapText="bothSides"/>
          <wp:docPr id="2" name="图片 2" descr="cf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fa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280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330.3pt;margin-top:-8.05pt;width:173.4pt;height:40.5pt;z-index:251660288;mso-position-horizontal-relative:text;mso-position-vertical-relative:text;mso-width-relative:margin;mso-height-relative:margin" o:gfxdata="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BcCuq1wAAAAsBAAAPAAAAAAAAAAEA&#10;IAAAACIAAABkcnMvZG93bnJldi54bWxQSwECFAAUAAAACACHTuJAvXMyX54BAAATAwAADgAAAAAA&#10;AAABACAAAAAmAQAAZHJzL2Uyb0RvYy54bWxQSwUGAAAAAAYABgBZAQAANgUAAAAA&#10;" filled="f" stroked="f">
          <v:textbox>
            <w:txbxContent>
              <w:p w:rsidR="001E1A29" w:rsidRDefault="00837AF2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全球财经教育领导品牌</w:t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http://</w:t>
                </w:r>
                <w:r>
                  <w:rPr>
                    <w:rFonts w:ascii="Arial Unicode MS" w:eastAsia="Arial Unicode MS" w:hAnsi="Arial Unicode MS" w:cs="Arial Unicode MS" w:hint="eastAsia"/>
                    <w:sz w:val="24"/>
                    <w:szCs w:val="24"/>
                  </w:rPr>
                  <w:t>finance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.gaodun.cn</w:t>
                </w:r>
              </w:p>
            </w:txbxContent>
          </v:textbox>
        </v:shape>
      </w:pict>
    </w:r>
  </w:p>
  <w:p w:rsidR="001E1A29" w:rsidRDefault="001E1A29">
    <w:pPr>
      <w:pStyle w:val="a7"/>
    </w:pPr>
  </w:p>
  <w:p w:rsidR="001E1A29" w:rsidRDefault="001E1A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A39"/>
    <w:multiLevelType w:val="hybridMultilevel"/>
    <w:tmpl w:val="8092C2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876CB0"/>
    <w:multiLevelType w:val="multilevel"/>
    <w:tmpl w:val="60876C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4BAB"/>
    <w:rsid w:val="000262EB"/>
    <w:rsid w:val="00061A4F"/>
    <w:rsid w:val="000A1E27"/>
    <w:rsid w:val="0010549D"/>
    <w:rsid w:val="001155AF"/>
    <w:rsid w:val="001215C8"/>
    <w:rsid w:val="0012508B"/>
    <w:rsid w:val="00152025"/>
    <w:rsid w:val="001648F3"/>
    <w:rsid w:val="00172A27"/>
    <w:rsid w:val="0018274C"/>
    <w:rsid w:val="001B4E4A"/>
    <w:rsid w:val="001E1A29"/>
    <w:rsid w:val="001E2F40"/>
    <w:rsid w:val="00213BFA"/>
    <w:rsid w:val="002627EC"/>
    <w:rsid w:val="00295F0F"/>
    <w:rsid w:val="002974A4"/>
    <w:rsid w:val="002A53CD"/>
    <w:rsid w:val="002A65A4"/>
    <w:rsid w:val="002B3BA1"/>
    <w:rsid w:val="002B46CB"/>
    <w:rsid w:val="002C4D66"/>
    <w:rsid w:val="002C64E8"/>
    <w:rsid w:val="002D5709"/>
    <w:rsid w:val="00323A79"/>
    <w:rsid w:val="003735BA"/>
    <w:rsid w:val="00393777"/>
    <w:rsid w:val="00394AB3"/>
    <w:rsid w:val="003950B5"/>
    <w:rsid w:val="003B5DB2"/>
    <w:rsid w:val="003D616C"/>
    <w:rsid w:val="00440193"/>
    <w:rsid w:val="00463C45"/>
    <w:rsid w:val="00465F79"/>
    <w:rsid w:val="00532306"/>
    <w:rsid w:val="00547D69"/>
    <w:rsid w:val="005516BF"/>
    <w:rsid w:val="00554439"/>
    <w:rsid w:val="00596C8C"/>
    <w:rsid w:val="00620B73"/>
    <w:rsid w:val="0063351D"/>
    <w:rsid w:val="00636ECD"/>
    <w:rsid w:val="00652E18"/>
    <w:rsid w:val="006A6444"/>
    <w:rsid w:val="006B5FD4"/>
    <w:rsid w:val="006E30B8"/>
    <w:rsid w:val="00700784"/>
    <w:rsid w:val="00707B07"/>
    <w:rsid w:val="00721C28"/>
    <w:rsid w:val="00731FC9"/>
    <w:rsid w:val="007379EC"/>
    <w:rsid w:val="007777EE"/>
    <w:rsid w:val="0079552F"/>
    <w:rsid w:val="007D14EC"/>
    <w:rsid w:val="007E2BEE"/>
    <w:rsid w:val="007F1BF5"/>
    <w:rsid w:val="007F631E"/>
    <w:rsid w:val="007F7C48"/>
    <w:rsid w:val="00820904"/>
    <w:rsid w:val="00830ACD"/>
    <w:rsid w:val="00837AF2"/>
    <w:rsid w:val="0084662C"/>
    <w:rsid w:val="00847075"/>
    <w:rsid w:val="0089024C"/>
    <w:rsid w:val="0090073E"/>
    <w:rsid w:val="00941CE6"/>
    <w:rsid w:val="00944F68"/>
    <w:rsid w:val="00953EE8"/>
    <w:rsid w:val="00955E03"/>
    <w:rsid w:val="00972EF0"/>
    <w:rsid w:val="009778A2"/>
    <w:rsid w:val="009C0E94"/>
    <w:rsid w:val="009E3DEE"/>
    <w:rsid w:val="009E528F"/>
    <w:rsid w:val="00A2731A"/>
    <w:rsid w:val="00A327EA"/>
    <w:rsid w:val="00A34165"/>
    <w:rsid w:val="00A46DD5"/>
    <w:rsid w:val="00A74FA3"/>
    <w:rsid w:val="00A962E2"/>
    <w:rsid w:val="00AC4510"/>
    <w:rsid w:val="00AC52D6"/>
    <w:rsid w:val="00AD0F7E"/>
    <w:rsid w:val="00AF7A2C"/>
    <w:rsid w:val="00B17C0D"/>
    <w:rsid w:val="00B55718"/>
    <w:rsid w:val="00B56B85"/>
    <w:rsid w:val="00BB1B1F"/>
    <w:rsid w:val="00BB6258"/>
    <w:rsid w:val="00BC7C17"/>
    <w:rsid w:val="00BF5E42"/>
    <w:rsid w:val="00C16409"/>
    <w:rsid w:val="00C37803"/>
    <w:rsid w:val="00C56E81"/>
    <w:rsid w:val="00C8087F"/>
    <w:rsid w:val="00C82F14"/>
    <w:rsid w:val="00CC62A7"/>
    <w:rsid w:val="00CD6397"/>
    <w:rsid w:val="00CE318F"/>
    <w:rsid w:val="00D02A09"/>
    <w:rsid w:val="00D72E49"/>
    <w:rsid w:val="00D841D4"/>
    <w:rsid w:val="00D857DA"/>
    <w:rsid w:val="00D95F27"/>
    <w:rsid w:val="00DC48E9"/>
    <w:rsid w:val="00E05F53"/>
    <w:rsid w:val="00E065F9"/>
    <w:rsid w:val="00E43A96"/>
    <w:rsid w:val="00E50675"/>
    <w:rsid w:val="00E83613"/>
    <w:rsid w:val="00E93903"/>
    <w:rsid w:val="00EA27EB"/>
    <w:rsid w:val="00EC1313"/>
    <w:rsid w:val="00EF2007"/>
    <w:rsid w:val="00F01A14"/>
    <w:rsid w:val="00F17F9C"/>
    <w:rsid w:val="00F44116"/>
    <w:rsid w:val="00FC1727"/>
    <w:rsid w:val="00FD55EC"/>
    <w:rsid w:val="00FF513B"/>
    <w:rsid w:val="024338B5"/>
    <w:rsid w:val="111D05F9"/>
    <w:rsid w:val="160A2596"/>
    <w:rsid w:val="16FE2E11"/>
    <w:rsid w:val="1C8C4F2D"/>
    <w:rsid w:val="27B65C7B"/>
    <w:rsid w:val="31BE21FD"/>
    <w:rsid w:val="3AF7311F"/>
    <w:rsid w:val="467E6205"/>
    <w:rsid w:val="4DBD063D"/>
    <w:rsid w:val="4E253F66"/>
    <w:rsid w:val="6EE203FC"/>
    <w:rsid w:val="71785B8D"/>
    <w:rsid w:val="7B472F56"/>
    <w:rsid w:val="7F1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BA3F9AD"/>
  <w15:docId w15:val="{4EE122BC-1F30-4873-93ED-E08A8F4E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BC7C17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2A3D41" w:rsidRDefault="00880F74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2A3D41" w:rsidRDefault="00880F74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159"/>
    <w:rsid w:val="00015C94"/>
    <w:rsid w:val="00031D60"/>
    <w:rsid w:val="000426DE"/>
    <w:rsid w:val="00063885"/>
    <w:rsid w:val="001908EA"/>
    <w:rsid w:val="002307C2"/>
    <w:rsid w:val="0024698F"/>
    <w:rsid w:val="002A3D41"/>
    <w:rsid w:val="003E0FA6"/>
    <w:rsid w:val="00413F83"/>
    <w:rsid w:val="00472ACF"/>
    <w:rsid w:val="004E42D3"/>
    <w:rsid w:val="00642BFD"/>
    <w:rsid w:val="006F11F4"/>
    <w:rsid w:val="00712C90"/>
    <w:rsid w:val="00712EEF"/>
    <w:rsid w:val="0074635F"/>
    <w:rsid w:val="00880F74"/>
    <w:rsid w:val="0090273A"/>
    <w:rsid w:val="00BD6110"/>
    <w:rsid w:val="00CA03AF"/>
    <w:rsid w:val="00D23D08"/>
    <w:rsid w:val="00D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F1DF442-3E37-4809-96CC-8032DA9C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1455</Characters>
  <Application>Microsoft Office Word</Application>
  <DocSecurity>0</DocSecurity>
  <Lines>12</Lines>
  <Paragraphs>3</Paragraphs>
  <ScaleCrop>false</ScaleCrop>
  <Company>学服：021-51210513  咨询：400-600-8011  邮箱：cfa@gaodun.cn  网站：cfa.gaodun.cn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张真</cp:lastModifiedBy>
  <cp:revision>46</cp:revision>
  <cp:lastPrinted>2013-11-22T05:22:00Z</cp:lastPrinted>
  <dcterms:created xsi:type="dcterms:W3CDTF">2011-08-01T12:55:00Z</dcterms:created>
  <dcterms:modified xsi:type="dcterms:W3CDTF">2017-07-28T10:07:00Z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