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CFA一级</w:t>
      </w:r>
      <w:r>
        <w:rPr>
          <w:rFonts w:hint="eastAsia"/>
          <w:b/>
          <w:sz w:val="36"/>
          <w:szCs w:val="36"/>
          <w:lang w:eastAsia="zh-CN"/>
        </w:rPr>
        <w:t>备考精囊之</w:t>
      </w:r>
      <w:r>
        <w:rPr>
          <w:rFonts w:hint="eastAsia"/>
          <w:b/>
          <w:sz w:val="36"/>
          <w:szCs w:val="36"/>
          <w:lang w:val="en-US" w:eastAsia="zh-CN"/>
        </w:rPr>
        <w:t>：</w:t>
      </w:r>
      <w:r>
        <w:rPr>
          <w:rFonts w:hint="eastAsia"/>
          <w:b/>
          <w:sz w:val="36"/>
          <w:szCs w:val="36"/>
        </w:rPr>
        <w:t>Economics</w:t>
      </w:r>
    </w:p>
    <w:p>
      <w:pPr>
        <w:ind w:firstLine="425" w:firstLineChars="177"/>
        <w:jc w:val="left"/>
      </w:pPr>
      <w:r>
        <w:rPr>
          <w:color w:val="0000FF"/>
        </w:rPr>
        <w:t>CFA</w:t>
      </w:r>
      <w:r>
        <w:rPr>
          <w:rFonts w:hint="eastAsia"/>
          <w:color w:val="0000FF"/>
        </w:rPr>
        <w:t>一级的Economics（经济学）</w:t>
      </w:r>
      <w:r>
        <w:rPr>
          <w:rFonts w:hint="eastAsia"/>
          <w:color w:val="0000FF"/>
          <w:lang w:eastAsia="zh-CN"/>
        </w:rPr>
        <w:t>可算是学习商科必须掌握的基础，而且</w:t>
      </w:r>
      <w:r>
        <w:rPr>
          <w:rFonts w:hint="eastAsia"/>
          <w:color w:val="0000FF"/>
        </w:rPr>
        <w:t>在考试中占比</w:t>
      </w:r>
      <w:r>
        <w:rPr>
          <w:rFonts w:hint="eastAsia"/>
          <w:color w:val="0000FF"/>
          <w:lang w:eastAsia="zh-CN"/>
        </w:rPr>
        <w:t>也达到了</w:t>
      </w:r>
      <w:r>
        <w:rPr>
          <w:rFonts w:hint="eastAsia"/>
          <w:color w:val="0000FF"/>
        </w:rPr>
        <w:t>10%，</w:t>
      </w:r>
      <w:r>
        <w:rPr>
          <w:rFonts w:hint="eastAsia"/>
          <w:color w:val="0000FF"/>
          <w:lang w:eastAsia="zh-CN"/>
        </w:rPr>
        <w:t>需要引起考生的重点关注</w:t>
      </w:r>
      <w:r>
        <w:rPr>
          <w:rFonts w:hint="eastAsia"/>
          <w:color w:val="0000FF"/>
        </w:rPr>
        <w:t>。</w:t>
      </w:r>
      <w:r>
        <w:rPr>
          <w:rFonts w:hint="eastAsia"/>
        </w:rPr>
        <w:t>商科专业的同学，在大学期间应该已经系统</w:t>
      </w:r>
      <w:r>
        <w:rPr>
          <w:rFonts w:hint="eastAsia"/>
          <w:lang w:eastAsia="zh-CN"/>
        </w:rPr>
        <w:t>地</w:t>
      </w:r>
      <w:r>
        <w:rPr>
          <w:rFonts w:hint="eastAsia"/>
        </w:rPr>
        <w:t>学习过了</w:t>
      </w:r>
      <w:r>
        <w:rPr>
          <w:rFonts w:hint="eastAsia"/>
          <w:lang w:val="en-US" w:eastAsia="zh-CN"/>
        </w:rPr>
        <w:t>Economics</w:t>
      </w:r>
      <w:r>
        <w:rPr>
          <w:rFonts w:hint="eastAsia"/>
        </w:rPr>
        <w:t>，</w:t>
      </w:r>
      <w:r>
        <w:rPr>
          <w:rFonts w:hint="eastAsia"/>
          <w:lang w:eastAsia="zh-CN"/>
        </w:rPr>
        <w:t>这</w:t>
      </w:r>
      <w:r>
        <w:rPr>
          <w:rFonts w:hint="eastAsia"/>
        </w:rPr>
        <w:t>与CFA一级中涉及的相关知识点都是相同的。根据CFA协会的调查，Economics是全球考生反馈相对简单的一门课，觉得难的大部分原因是因为考点相对比较多且零散。</w:t>
      </w:r>
    </w:p>
    <w:p>
      <w:pPr>
        <w:ind w:firstLine="425" w:firstLineChars="177"/>
        <w:jc w:val="left"/>
      </w:pPr>
      <w:r>
        <w:rPr>
          <w:rFonts w:hint="eastAsia"/>
          <w:color w:val="0000FF"/>
          <w:lang w:eastAsia="zh-CN"/>
        </w:rPr>
        <w:t>高顿</w:t>
      </w:r>
      <w:r>
        <w:rPr>
          <w:rFonts w:hint="eastAsia"/>
          <w:color w:val="0000FF"/>
          <w:lang w:val="en-US" w:eastAsia="zh-CN"/>
        </w:rPr>
        <w:t>CFA</w:t>
      </w:r>
      <w:r>
        <w:rPr>
          <w:rFonts w:hint="eastAsia"/>
          <w:color w:val="0000FF"/>
          <w:lang w:eastAsia="zh-CN"/>
        </w:rPr>
        <w:t>研究院提醒考生，</w:t>
      </w:r>
      <w:r>
        <w:rPr>
          <w:rFonts w:hint="eastAsia"/>
        </w:rPr>
        <w:t>Economics是进行金融投资分析的基础，特别是Macroeconomic （宏观经济）。 在进行相关投资决策的时候，分析师一般会使用Top-down Analysis（自上而下分析），这里的分析策略就是先分析相应的宏观经济数据，再分析大经济环境下对应的行业和公司。Economics知识的运用涵盖了所有行为主体：个体、市场、国家。</w:t>
      </w:r>
    </w:p>
    <w:p>
      <w:pPr>
        <w:ind w:firstLine="425" w:firstLineChars="177"/>
        <w:jc w:val="left"/>
      </w:pPr>
      <w:r>
        <w:rPr>
          <w:rFonts w:hint="eastAsia"/>
        </w:rPr>
        <w:t xml:space="preserve">CFA一级的Economics包括3个study </w:t>
      </w:r>
      <w:r>
        <w:t>session</w:t>
      </w:r>
      <w:r>
        <w:rPr>
          <w:rFonts w:hint="eastAsia"/>
        </w:rPr>
        <w:t>，一共9个reading，分别是：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</w:pPr>
      <w:r>
        <w:rPr>
          <w:b/>
          <w:bCs/>
        </w:rPr>
        <w:t xml:space="preserve">Study session </w:t>
      </w:r>
      <w:r>
        <w:rPr>
          <w:rFonts w:hint="eastAsia"/>
          <w:b/>
          <w:bCs/>
        </w:rPr>
        <w:t>4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Economics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Microeconomic Analysis</w:t>
      </w:r>
      <w:r>
        <w:rPr>
          <w:b/>
          <w:bCs/>
        </w:rPr>
        <w:t>)</w:t>
      </w:r>
      <w:r>
        <w:t xml:space="preserve"> 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t xml:space="preserve">Reading </w:t>
      </w:r>
      <w:r>
        <w:rPr>
          <w:rFonts w:hint="eastAsia"/>
        </w:rPr>
        <w:t>13</w:t>
      </w:r>
      <w:r>
        <w:t xml:space="preserve">: </w:t>
      </w:r>
      <w:r>
        <w:rPr>
          <w:rFonts w:hint="eastAsia"/>
        </w:rPr>
        <w:t>Demand and Supply Analysis: Introduction（导引）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t xml:space="preserve">Reading </w:t>
      </w:r>
      <w:r>
        <w:rPr>
          <w:rFonts w:hint="eastAsia"/>
        </w:rPr>
        <w:t>14</w:t>
      </w:r>
      <w:r>
        <w:t xml:space="preserve">: </w:t>
      </w:r>
      <w:r>
        <w:rPr>
          <w:rFonts w:hint="eastAsia"/>
        </w:rPr>
        <w:t>Demand and Supply Analysis: Consumer Demand（消费者选择理论）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t xml:space="preserve">Reading </w:t>
      </w:r>
      <w:r>
        <w:rPr>
          <w:rFonts w:hint="eastAsia"/>
        </w:rPr>
        <w:t>15</w:t>
      </w:r>
      <w:r>
        <w:t xml:space="preserve">: </w:t>
      </w:r>
      <w:r>
        <w:rPr>
          <w:rFonts w:hint="eastAsia"/>
        </w:rPr>
        <w:t>Demand and Supply Analysis: The Firm（厂商理论）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t xml:space="preserve">Reading </w:t>
      </w:r>
      <w:r>
        <w:rPr>
          <w:rFonts w:hint="eastAsia"/>
        </w:rPr>
        <w:t>16</w:t>
      </w:r>
      <w:r>
        <w:t xml:space="preserve">: </w:t>
      </w:r>
      <w:r>
        <w:rPr>
          <w:rFonts w:hint="eastAsia"/>
        </w:rPr>
        <w:t xml:space="preserve">The Firm and Market </w:t>
      </w:r>
      <w:r>
        <w:t>Structures</w:t>
      </w:r>
      <w:r>
        <w:rPr>
          <w:rFonts w:hint="eastAsia"/>
        </w:rPr>
        <w:t>（厂商和市场结构）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 xml:space="preserve">Study session </w:t>
      </w:r>
      <w:r>
        <w:rPr>
          <w:rFonts w:hint="eastAsia"/>
          <w:b/>
          <w:bCs/>
        </w:rPr>
        <w:t>5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Economics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Macroeconomic Analysis</w:t>
      </w:r>
      <w:r>
        <w:rPr>
          <w:b/>
          <w:bCs/>
        </w:rPr>
        <w:t xml:space="preserve">) 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t xml:space="preserve">Reading </w:t>
      </w:r>
      <w:r>
        <w:rPr>
          <w:rFonts w:hint="eastAsia"/>
        </w:rPr>
        <w:t>17</w:t>
      </w:r>
      <w:r>
        <w:t xml:space="preserve">: </w:t>
      </w:r>
      <w:r>
        <w:rPr>
          <w:rFonts w:hint="eastAsia"/>
        </w:rPr>
        <w:t>Aggregate Output, Prices, and Economic Growth（总产出、价格和经济增长）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t>Reading 1</w:t>
      </w:r>
      <w:r>
        <w:rPr>
          <w:rFonts w:hint="eastAsia"/>
        </w:rPr>
        <w:t>8</w:t>
      </w:r>
      <w:r>
        <w:t xml:space="preserve">: </w:t>
      </w:r>
      <w:r>
        <w:rPr>
          <w:rFonts w:hint="eastAsia"/>
        </w:rPr>
        <w:t>Understanding Business Cycle（理解经济周期）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t>Reading 1</w:t>
      </w:r>
      <w:r>
        <w:rPr>
          <w:rFonts w:hint="eastAsia"/>
        </w:rPr>
        <w:t>9</w:t>
      </w:r>
      <w:r>
        <w:t xml:space="preserve">: </w:t>
      </w:r>
      <w:r>
        <w:rPr>
          <w:rFonts w:hint="eastAsia"/>
        </w:rPr>
        <w:t>Monetary and Fiscal Policy（货币政策与财政政策）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 xml:space="preserve">Study session </w:t>
      </w:r>
      <w:r>
        <w:rPr>
          <w:rFonts w:hint="eastAsia"/>
          <w:b/>
          <w:bCs/>
        </w:rPr>
        <w:t>6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Economics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Economics in a Global Context</w:t>
      </w:r>
      <w:r>
        <w:rPr>
          <w:b/>
          <w:bCs/>
        </w:rPr>
        <w:t xml:space="preserve">) 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t xml:space="preserve">Reading </w:t>
      </w:r>
      <w:r>
        <w:rPr>
          <w:rFonts w:hint="eastAsia"/>
        </w:rPr>
        <w:t>2</w:t>
      </w:r>
      <w:r>
        <w:t xml:space="preserve">0: </w:t>
      </w:r>
      <w:r>
        <w:rPr>
          <w:rFonts w:hint="eastAsia"/>
        </w:rPr>
        <w:t>International Trade and Capital Flows（国际贸易与资本流动）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t xml:space="preserve">Reading </w:t>
      </w:r>
      <w:r>
        <w:rPr>
          <w:rFonts w:hint="eastAsia"/>
        </w:rPr>
        <w:t>2</w:t>
      </w:r>
      <w:r>
        <w:t xml:space="preserve">1: </w:t>
      </w:r>
      <w:r>
        <w:rPr>
          <w:rFonts w:hint="eastAsia"/>
        </w:rPr>
        <w:t>Currency Exchange Rates（汇率）</w:t>
      </w:r>
    </w:p>
    <w:p>
      <w:pPr>
        <w:ind w:firstLine="425" w:firstLineChars="177"/>
        <w:jc w:val="left"/>
      </w:pPr>
      <w:r>
        <w:rPr>
          <w:rFonts w:hint="eastAsia"/>
          <w:lang w:eastAsia="zh-CN"/>
        </w:rPr>
        <w:t>其中，</w:t>
      </w:r>
      <w:r>
        <w:rPr>
          <w:rFonts w:hint="eastAsia"/>
        </w:rPr>
        <w:t>Reading 13-15讲的是最基本的经济学原理：供求关系的产生和相关结论，这个基础概念贯穿了整个经济学。 Reading 16简单概述了微观经济中涉及的四个市场，以及相应市场下的供求关系。Reading 17主要讲解了以国家为单位的供求关系：总供给和总需求。Reading 18-19 简单概述了Business Cycle （经济周期）的相关特征，和可能产生的社会问题：Unemployment（失业）和Inflation（通货膨胀），以及政府相应的政策措施：Monetary Policy（货币政策）和Fiscal Policy（财政政策）。Reading 20-21 对国际贸易和汇率转换做了简单的介绍。</w:t>
      </w:r>
    </w:p>
    <w:p>
      <w:pPr>
        <w:ind w:firstLine="425" w:firstLineChars="177"/>
        <w:jc w:val="left"/>
        <w:rPr>
          <w:rFonts w:hint="eastAsia"/>
        </w:rPr>
      </w:pPr>
      <w:r>
        <w:rPr>
          <w:rFonts w:hint="eastAsia"/>
        </w:rPr>
        <w:t>从考试的重要度来看，Reading 15、Reading 16、Reading 17和Reading19是最重要的，Reading 14是最不重要的，其它的居中。</w:t>
      </w:r>
    </w:p>
    <w:p>
      <w:pPr>
        <w:ind w:firstLine="425" w:firstLineChars="177"/>
        <w:jc w:val="left"/>
      </w:pPr>
      <w:bookmarkStart w:id="0" w:name="_GoBack"/>
      <w:bookmarkEnd w:id="0"/>
      <w:r>
        <w:rPr>
          <w:rFonts w:hint="eastAsia"/>
          <w:lang w:eastAsia="zh-CN"/>
        </w:rPr>
        <w:t>以下是</w:t>
      </w:r>
      <w:r>
        <w:rPr>
          <w:rFonts w:hint="eastAsia"/>
          <w:color w:val="0000FF"/>
          <w:lang w:eastAsia="zh-CN"/>
        </w:rPr>
        <w:t>高顿</w:t>
      </w:r>
      <w:r>
        <w:rPr>
          <w:rFonts w:hint="eastAsia"/>
          <w:color w:val="0000FF"/>
          <w:lang w:val="en-US" w:eastAsia="zh-CN"/>
        </w:rPr>
        <w:t>CFA</w:t>
      </w:r>
      <w:r>
        <w:rPr>
          <w:rFonts w:hint="eastAsia"/>
          <w:color w:val="0000FF"/>
          <w:lang w:eastAsia="zh-CN"/>
        </w:rPr>
        <w:t>研究院</w:t>
      </w:r>
      <w:r>
        <w:rPr>
          <w:rFonts w:hint="eastAsia"/>
        </w:rPr>
        <w:t>对每个Reading重要考点进行</w:t>
      </w:r>
      <w:r>
        <w:rPr>
          <w:rFonts w:hint="eastAsia"/>
          <w:lang w:eastAsia="zh-CN"/>
        </w:rPr>
        <w:t>的</w:t>
      </w:r>
      <w:r>
        <w:rPr>
          <w:rFonts w:hint="eastAsia"/>
        </w:rPr>
        <w:t>总结：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 xml:space="preserve">Reading </w:t>
      </w:r>
      <w:r>
        <w:rPr>
          <w:rFonts w:hint="eastAsia"/>
          <w:b/>
          <w:bCs/>
        </w:rPr>
        <w:t>13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Demand and Supply Analysis: Introduction（导引）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Demand &amp; Supply（供求）的概念和曲线的移动判定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  <w:rPr>
          <w:rFonts w:hint="eastAsia"/>
        </w:rPr>
      </w:pPr>
      <w:r>
        <w:rPr>
          <w:rFonts w:hint="eastAsia"/>
        </w:rPr>
        <w:t>各项政策对Welfare（社会福利）的影响及其产生Deadweight loss（无谓损失）面积的大小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三大Elasticity（弹性）的计算。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rFonts w:hint="eastAsia"/>
          <w:b/>
          <w:bCs/>
        </w:rPr>
      </w:pPr>
      <w:r>
        <w:rPr>
          <w:b/>
          <w:bCs/>
        </w:rPr>
        <w:t xml:space="preserve">Reading </w:t>
      </w:r>
      <w:r>
        <w:rPr>
          <w:rFonts w:hint="eastAsia"/>
          <w:b/>
          <w:bCs/>
        </w:rPr>
        <w:t>14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 xml:space="preserve">Demand and Supply Analysis: Consumer Demand 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  <w:rPr>
          <w:rFonts w:hint="eastAsia"/>
        </w:rPr>
      </w:pPr>
      <w:r>
        <w:t>S</w:t>
      </w:r>
      <w:r>
        <w:rPr>
          <w:rFonts w:hint="eastAsia"/>
        </w:rPr>
        <w:t>ubstitution effect（替代效应）和 Income effect（收入效应）判定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Giffen Goods（吉芬商品）和Veblen Goods（韦伯伦商品）的比较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rFonts w:hint="eastAsia"/>
        </w:rPr>
      </w:pPr>
      <w:r>
        <w:rPr>
          <w:b/>
          <w:bCs/>
        </w:rPr>
        <w:t xml:space="preserve">Reading </w:t>
      </w:r>
      <w:r>
        <w:rPr>
          <w:rFonts w:hint="eastAsia"/>
          <w:b/>
          <w:bCs/>
        </w:rPr>
        <w:t>15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Demand and Supply Analysis: The Firm</w:t>
      </w:r>
    </w:p>
    <w:p>
      <w:pPr>
        <w:numPr>
          <w:ilvl w:val="0"/>
          <w:numId w:val="2"/>
        </w:numPr>
        <w:tabs>
          <w:tab w:val="left" w:pos="426"/>
          <w:tab w:val="left" w:pos="993"/>
          <w:tab w:val="clear" w:pos="720"/>
        </w:tabs>
        <w:ind w:left="-2" w:leftChars="-1" w:firstLine="708" w:firstLineChars="295"/>
        <w:jc w:val="left"/>
      </w:pPr>
      <w:r>
        <w:rPr>
          <w:rFonts w:hint="eastAsia"/>
        </w:rPr>
        <w:t>Economic profit（经济利润）的计算；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Production function（生产函数）和Cost curve（成本曲线）的相关概念；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Profit maximization（利润最大化）的条件。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t>P</w:t>
      </w:r>
      <w:r>
        <w:rPr>
          <w:rFonts w:hint="eastAsia"/>
        </w:rPr>
        <w:t>erfect competitive market（完全竞争市场）中的long-run equilibrium（长期均衡）和short-equilibrium（短期均衡）。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 xml:space="preserve">Reading </w:t>
      </w:r>
      <w:r>
        <w:rPr>
          <w:rFonts w:hint="eastAsia"/>
          <w:b/>
          <w:bCs/>
        </w:rPr>
        <w:t>16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 xml:space="preserve">The Firm and Market </w:t>
      </w:r>
      <w:r>
        <w:rPr>
          <w:b/>
          <w:bCs/>
        </w:rPr>
        <w:t>Structures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四个市场的特征区别；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Monopolistic competition（垄断竞争）的特征和长短期均衡；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  <w:rPr>
          <w:rFonts w:hint="eastAsia"/>
        </w:rPr>
      </w:pPr>
      <w:r>
        <w:rPr>
          <w:rFonts w:hint="eastAsia"/>
        </w:rPr>
        <w:t>Oligopoly（寡头）特征和四个模型，其中Kinked-demand model（弯折的需求曲线模型）、Nash equilibrium（纳什均衡）最重要。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Monopoly（垄断）的特征、长短期均衡和政府监管。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rFonts w:hint="eastAsia"/>
          <w:b/>
          <w:bCs/>
        </w:rPr>
      </w:pPr>
      <w:r>
        <w:rPr>
          <w:b/>
          <w:bCs/>
        </w:rPr>
        <w:t xml:space="preserve">Reading </w:t>
      </w:r>
      <w:r>
        <w:rPr>
          <w:rFonts w:hint="eastAsia"/>
          <w:b/>
          <w:bCs/>
        </w:rPr>
        <w:t>17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Aggregate Output, Prices, and Economic Growth</w:t>
      </w:r>
    </w:p>
    <w:p>
      <w:pPr>
        <w:numPr>
          <w:ilvl w:val="0"/>
          <w:numId w:val="2"/>
        </w:numPr>
        <w:tabs>
          <w:tab w:val="left" w:pos="426"/>
          <w:tab w:val="left" w:pos="993"/>
          <w:tab w:val="clear" w:pos="720"/>
        </w:tabs>
        <w:ind w:left="-2" w:leftChars="-1" w:firstLine="708" w:firstLineChars="295"/>
        <w:jc w:val="left"/>
      </w:pPr>
      <w:r>
        <w:rPr>
          <w:rFonts w:hint="eastAsia"/>
        </w:rPr>
        <w:t>GDP的三种核算方式；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IS-LM 和 AD-AS模型的概念，以及传导机制；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1133" w:leftChars="295" w:hanging="425" w:hangingChars="177"/>
        <w:jc w:val="left"/>
      </w:pPr>
      <w:r>
        <w:rPr>
          <w:rFonts w:hint="eastAsia"/>
        </w:rPr>
        <w:t>AD-AS模型下的四种均衡，及其特征和政府相应的政策措施；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  <w:rPr>
          <w:rFonts w:hint="eastAsia"/>
        </w:rPr>
      </w:pPr>
      <w:r>
        <w:rPr>
          <w:rFonts w:hint="eastAsia"/>
        </w:rPr>
        <w:t>经济可持续增长的要素。</w:t>
      </w:r>
    </w:p>
    <w:p>
      <w:pPr>
        <w:ind w:left="708"/>
        <w:jc w:val="left"/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>Reading 1</w:t>
      </w:r>
      <w:r>
        <w:rPr>
          <w:rFonts w:hint="eastAsia"/>
          <w:b/>
          <w:bCs/>
        </w:rPr>
        <w:t>8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Understanding Business Cycle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Business Cycle（经济周期）的理解和各阶段特征；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各学派对经济周期的解释和推荐政策；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Unemployment（失业）的相关概念和计算；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Inflation（通货膨胀）的相关概念、产生原因和指数的计算；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rFonts w:hint="eastAsia"/>
        </w:rPr>
      </w:pPr>
      <w:r>
        <w:rPr>
          <w:b/>
          <w:bCs/>
        </w:rPr>
        <w:t>Reading 1</w:t>
      </w:r>
      <w:r>
        <w:rPr>
          <w:rFonts w:hint="eastAsia"/>
          <w:b/>
          <w:bCs/>
        </w:rPr>
        <w:t>9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Monetary and Fiscal Policy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Money multiplier（货币乘数）计算；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Monetary policy（货币政策）的工具、传导机制、判定和局限性；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  <w:rPr>
          <w:rFonts w:hint="eastAsia"/>
        </w:rPr>
      </w:pPr>
      <w:r>
        <w:rPr>
          <w:rFonts w:hint="eastAsia"/>
        </w:rPr>
        <w:t>Fiscal policy（财政政策）的工具、传导机制、判定和局限性；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  <w:rPr>
          <w:rFonts w:hint="eastAsia"/>
        </w:rPr>
      </w:pPr>
      <w:r>
        <w:rPr>
          <w:rFonts w:hint="eastAsia"/>
        </w:rPr>
        <w:t>两政策叠加效果和影响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rFonts w:hint="eastAsia"/>
          <w:b/>
          <w:bCs/>
        </w:rPr>
      </w:pPr>
      <w:r>
        <w:rPr>
          <w:b/>
          <w:bCs/>
        </w:rPr>
        <w:t xml:space="preserve">Reading </w:t>
      </w:r>
      <w:r>
        <w:rPr>
          <w:rFonts w:hint="eastAsia"/>
          <w:b/>
          <w:bCs/>
        </w:rPr>
        <w:t>2</w:t>
      </w:r>
      <w:r>
        <w:rPr>
          <w:b/>
          <w:bCs/>
        </w:rPr>
        <w:t xml:space="preserve">0: </w:t>
      </w:r>
      <w:r>
        <w:rPr>
          <w:rFonts w:hint="eastAsia"/>
          <w:b/>
          <w:bCs/>
        </w:rPr>
        <w:t>International Trade and Capital Flows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  <w:rPr>
          <w:rFonts w:hint="eastAsia"/>
        </w:rPr>
      </w:pPr>
      <w:r>
        <w:t>Absolute</w:t>
      </w:r>
      <w:r>
        <w:rPr>
          <w:rFonts w:hint="eastAsia"/>
        </w:rPr>
        <w:t xml:space="preserve"> advantage（绝对优势）和comparative advantage（比较优势）的判定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  <w:rPr>
          <w:rFonts w:hint="eastAsia"/>
        </w:rPr>
      </w:pPr>
      <w:r>
        <w:rPr>
          <w:rFonts w:hint="eastAsia"/>
        </w:rPr>
        <w:t>政府四种贸易干预手段，及其对社会福利的影响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Balance of Payment（国际收支平衡）中三个账户的特征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 xml:space="preserve">Reading </w:t>
      </w:r>
      <w:r>
        <w:rPr>
          <w:rFonts w:hint="eastAsia"/>
          <w:b/>
          <w:bCs/>
        </w:rPr>
        <w:t>2</w:t>
      </w:r>
      <w:r>
        <w:rPr>
          <w:b/>
          <w:bCs/>
        </w:rPr>
        <w:t xml:space="preserve">1: </w:t>
      </w:r>
      <w:r>
        <w:rPr>
          <w:rFonts w:hint="eastAsia"/>
          <w:b/>
          <w:bCs/>
        </w:rPr>
        <w:t>Currency Exchange Rates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  <w:rPr>
          <w:rFonts w:hint="eastAsia"/>
        </w:rPr>
      </w:pPr>
      <w:r>
        <w:rPr>
          <w:rFonts w:hint="eastAsia"/>
        </w:rPr>
        <w:t>汇率的计算，升值贬值的判定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  <w:rPr>
          <w:rFonts w:hint="eastAsia"/>
        </w:rPr>
      </w:pPr>
      <w:r>
        <w:t>Interest</w:t>
      </w:r>
      <w:r>
        <w:rPr>
          <w:rFonts w:hint="eastAsia"/>
        </w:rPr>
        <w:t xml:space="preserve"> rate parity（利率平价）概念和计算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讨论贬值是否促进国际顺差的三个理论</w:t>
      </w:r>
    </w:p>
    <w:p>
      <w:pPr>
        <w:ind w:firstLine="425" w:firstLineChars="177"/>
        <w:jc w:val="left"/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egoe UI Symbol">
    <w:altName w:val="Symbol"/>
    <w:panose1 w:val="020B0502040204020203"/>
    <w:charset w:val="00"/>
    <w:family w:val="auto"/>
    <w:pitch w:val="default"/>
    <w:sig w:usb0="00000000" w:usb1="00000000" w:usb2="0004C000" w:usb3="00000000" w:csb0="00000001" w:csb1="4000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  <w:font w:name="Segoe UI">
    <w:altName w:val="Shruti"/>
    <w:panose1 w:val="020B0502040204020203"/>
    <w:charset w:val="00"/>
    <w:family w:val="auto"/>
    <w:pitch w:val="default"/>
    <w:sig w:usb0="00000000" w:usb1="00000000" w:usb2="00000029" w:usb3="00000000" w:csb0="200001DF" w:csb1="2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MingLiU">
    <w:panose1 w:val="02020300000000000000"/>
    <w:charset w:val="88"/>
    <w:family w:val="roman"/>
    <w:pitch w:val="default"/>
    <w:sig w:usb0="00000003" w:usb1="082E0000" w:usb2="00000016" w:usb3="00000000" w:csb0="00100001" w:csb1="00000000"/>
  </w:font>
  <w:font w:name="MT Extra">
    <w:panose1 w:val="05050102010205020202"/>
    <w:charset w:val="02"/>
    <w:family w:val="auto"/>
    <w:pitch w:val="default"/>
    <w:sig w:usb0="80000000" w:usb1="00000000" w:usb2="00000000" w:usb3="00000000" w:csb0="00000000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Shruti">
    <w:panose1 w:val="02000500000000000000"/>
    <w:charset w:val="00"/>
    <w:family w:val="roman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ucida Sans">
    <w:altName w:val="Lucida Sans Unicode"/>
    <w:panose1 w:val="020B0602040502020204"/>
    <w:charset w:val="00"/>
    <w:family w:val="auto"/>
    <w:pitch w:val="default"/>
    <w:sig w:usb0="00000000" w:usb1="00000000" w:usb2="00000000" w:usb3="00000000" w:csb0="00000000" w:csb1="00000000"/>
  </w:font>
  <w:font w:name="Shruti">
    <w:panose1 w:val="02000500000000000000"/>
    <w:charset w:val="00"/>
    <w:family w:val="roman"/>
    <w:pitch w:val="default"/>
    <w:sig w:usb0="00040000" w:usb1="00000000" w:usb2="00000000" w:usb3="00000000" w:csb0="00000000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sdt>
      <w:sdtPr>
        <w:rPr>
          <w:kern w:val="0"/>
        </w:rPr>
        <w:alias w:val="公司"/>
        <w:id w:val="76161118"/>
        <w:placeholder>
          <w:docPart w:val="096CBB6B253040F88CEB0213ED244861"/>
        </w:placeholder>
        <w15:dataBinding w:prefixMappings="xmlns:ns0='http://schemas.openxmlformats.org/officeDocument/2006/extended-properties'" w:xpath="/ns0:Properties[1]/ns0:Company[1]" w:storeItemID="{6668398D-A668-4E3E-A5EB-62B293D839F1}"/>
        <w:text/>
      </w:sdtPr>
      <w:sdtEndPr>
        <w:rPr>
          <w:kern w:val="0"/>
        </w:rPr>
      </w:sdtEndPr>
      <w:sdtContent>
        <w:r>
          <w:rPr>
            <w:rFonts w:hint="eastAsia"/>
            <w:kern w:val="0"/>
          </w:rPr>
          <w:t>咨询：400-600-8011  邮箱：cfa@gaodun.cn  网站：finance.gaodun.cn</w:t>
        </w:r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-994" w:leftChars="-414"/>
      <w:jc w:val="left"/>
    </w:pPr>
    <w:r>
      <w:pict>
        <v:shape id="_x0000_s13313" o:spid="_x0000_s13313" o:spt="202" type="#_x0000_t202" style="position:absolute;left:0pt;margin-left:275.25pt;margin-top:-3.55pt;height:40.5pt;width:173.4pt;z-index:251658240;mso-width-relative:margin;mso-height-relative:margin;" filled="f" stroked="f" coordsize="21600,21600">
          <v:path/>
          <v:fill on="f" focussize="0,0"/>
          <v:stroke on="f" color="#FFFFFF [3212]" joinstyle="miter"/>
          <v:imagedata o:title=""/>
          <o:lock v:ext="edit"/>
          <v:textbox>
            <w:txbxContent>
              <w:p>
                <w:pPr>
                  <w:jc w:val="center"/>
                </w:pPr>
                <w:r>
                  <w:rPr>
                    <w:rFonts w:hint="eastAsia" w:ascii="黑体" w:eastAsia="黑体"/>
                  </w:rPr>
                  <w:t>全球财经教育领导品牌</w:t>
                </w:r>
                <w:r>
                  <w:br w:type="textWrapping"/>
                </w:r>
                <w:r>
                  <w:rPr>
                    <w:rFonts w:ascii="Arial Unicode MS" w:hAnsi="Arial Unicode MS" w:eastAsia="Arial Unicode MS" w:cs="Arial Unicode MS"/>
                  </w:rPr>
                  <w:t>http://</w:t>
                </w:r>
                <w:r>
                  <w:rPr>
                    <w:rFonts w:hint="eastAsia" w:ascii="Arial Unicode MS" w:hAnsi="Arial Unicode MS" w:eastAsia="Arial Unicode MS" w:cs="Arial Unicode MS"/>
                  </w:rPr>
                  <w:t>finance</w:t>
                </w:r>
                <w:r>
                  <w:rPr>
                    <w:rFonts w:ascii="Arial Unicode MS" w:hAnsi="Arial Unicode MS" w:eastAsia="Arial Unicode MS" w:cs="Arial Unicode MS"/>
                  </w:rPr>
                  <w:t>.gaodun.cn</w:t>
                </w:r>
              </w:p>
            </w:txbxContent>
          </v:textbox>
        </v:shape>
      </w:pict>
    </w:r>
    <w:r>
      <w:drawing>
        <wp:inline distT="0" distB="0" distL="0" distR="0">
          <wp:extent cx="3510280" cy="485140"/>
          <wp:effectExtent l="0" t="0" r="0" b="0"/>
          <wp:docPr id="2" name="图片 1" descr="cfa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cfa-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1365" cy="48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D23EC"/>
    <w:multiLevelType w:val="multilevel"/>
    <w:tmpl w:val="502D23EC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5A1E6B8A"/>
    <w:multiLevelType w:val="multilevel"/>
    <w:tmpl w:val="5A1E6B8A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layout v:ext="edit">
      <o:idmap v:ext="edit" data="1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4329"/>
    <w:rsid w:val="00000C83"/>
    <w:rsid w:val="000123C0"/>
    <w:rsid w:val="00021087"/>
    <w:rsid w:val="0007726C"/>
    <w:rsid w:val="000A426B"/>
    <w:rsid w:val="000E2E9F"/>
    <w:rsid w:val="00147996"/>
    <w:rsid w:val="00190458"/>
    <w:rsid w:val="001C1266"/>
    <w:rsid w:val="001C70F5"/>
    <w:rsid w:val="001D7DD5"/>
    <w:rsid w:val="001E0802"/>
    <w:rsid w:val="001F1691"/>
    <w:rsid w:val="00211395"/>
    <w:rsid w:val="00231181"/>
    <w:rsid w:val="00252F93"/>
    <w:rsid w:val="002A166B"/>
    <w:rsid w:val="002A7368"/>
    <w:rsid w:val="00300187"/>
    <w:rsid w:val="00301196"/>
    <w:rsid w:val="003148BE"/>
    <w:rsid w:val="00320F4A"/>
    <w:rsid w:val="003A2BC5"/>
    <w:rsid w:val="003B592F"/>
    <w:rsid w:val="003B5A1C"/>
    <w:rsid w:val="003C6EDC"/>
    <w:rsid w:val="003F7AF2"/>
    <w:rsid w:val="004137A8"/>
    <w:rsid w:val="00415F1E"/>
    <w:rsid w:val="0045708D"/>
    <w:rsid w:val="004A660E"/>
    <w:rsid w:val="004A76AF"/>
    <w:rsid w:val="004B398C"/>
    <w:rsid w:val="00547703"/>
    <w:rsid w:val="005514D3"/>
    <w:rsid w:val="00561912"/>
    <w:rsid w:val="005831CE"/>
    <w:rsid w:val="005D5C1F"/>
    <w:rsid w:val="00653FDE"/>
    <w:rsid w:val="00655924"/>
    <w:rsid w:val="00684E6B"/>
    <w:rsid w:val="00690707"/>
    <w:rsid w:val="00691519"/>
    <w:rsid w:val="006A5818"/>
    <w:rsid w:val="006C6D96"/>
    <w:rsid w:val="007150C7"/>
    <w:rsid w:val="00754F63"/>
    <w:rsid w:val="00791F8B"/>
    <w:rsid w:val="007B47DC"/>
    <w:rsid w:val="00817D79"/>
    <w:rsid w:val="00824D42"/>
    <w:rsid w:val="008513C8"/>
    <w:rsid w:val="00874329"/>
    <w:rsid w:val="00887D3B"/>
    <w:rsid w:val="008A107B"/>
    <w:rsid w:val="008C7FD6"/>
    <w:rsid w:val="008E3406"/>
    <w:rsid w:val="008E54AF"/>
    <w:rsid w:val="008F24B7"/>
    <w:rsid w:val="009007F1"/>
    <w:rsid w:val="0090467E"/>
    <w:rsid w:val="00920E3C"/>
    <w:rsid w:val="00931153"/>
    <w:rsid w:val="00931A5B"/>
    <w:rsid w:val="009459C7"/>
    <w:rsid w:val="00946DA7"/>
    <w:rsid w:val="0097449E"/>
    <w:rsid w:val="00987116"/>
    <w:rsid w:val="009A4250"/>
    <w:rsid w:val="009B26FF"/>
    <w:rsid w:val="009E5D7F"/>
    <w:rsid w:val="00A15BC4"/>
    <w:rsid w:val="00A237D2"/>
    <w:rsid w:val="00A33701"/>
    <w:rsid w:val="00A3650A"/>
    <w:rsid w:val="00A55564"/>
    <w:rsid w:val="00A5676C"/>
    <w:rsid w:val="00A66D9C"/>
    <w:rsid w:val="00A751E5"/>
    <w:rsid w:val="00A76F4F"/>
    <w:rsid w:val="00A80BC7"/>
    <w:rsid w:val="00A9488C"/>
    <w:rsid w:val="00AC14B0"/>
    <w:rsid w:val="00AF6D09"/>
    <w:rsid w:val="00B557C9"/>
    <w:rsid w:val="00B73B6C"/>
    <w:rsid w:val="00BB30FE"/>
    <w:rsid w:val="00BB7946"/>
    <w:rsid w:val="00BD58BD"/>
    <w:rsid w:val="00BE262F"/>
    <w:rsid w:val="00BE44F6"/>
    <w:rsid w:val="00BF03FA"/>
    <w:rsid w:val="00BF5274"/>
    <w:rsid w:val="00C44BB1"/>
    <w:rsid w:val="00C5040E"/>
    <w:rsid w:val="00C70EE5"/>
    <w:rsid w:val="00CB2262"/>
    <w:rsid w:val="00D3702F"/>
    <w:rsid w:val="00D64375"/>
    <w:rsid w:val="00DA668A"/>
    <w:rsid w:val="00DB496D"/>
    <w:rsid w:val="00DC1BA2"/>
    <w:rsid w:val="00DC6A8D"/>
    <w:rsid w:val="00E06B6D"/>
    <w:rsid w:val="00E30527"/>
    <w:rsid w:val="00E41163"/>
    <w:rsid w:val="00E54552"/>
    <w:rsid w:val="00E86BE2"/>
    <w:rsid w:val="00EA2CB7"/>
    <w:rsid w:val="00EA5023"/>
    <w:rsid w:val="00ED12FB"/>
    <w:rsid w:val="00EE590F"/>
    <w:rsid w:val="00F03D0A"/>
    <w:rsid w:val="00F15B9F"/>
    <w:rsid w:val="00F55300"/>
    <w:rsid w:val="00F82D15"/>
    <w:rsid w:val="00FB1346"/>
    <w:rsid w:val="00FD4F58"/>
    <w:rsid w:val="11AD1C43"/>
    <w:rsid w:val="33E77F4B"/>
    <w:rsid w:val="615506FA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96CBB6B253040F88CEB0213ED24486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01C213-7593-4E6D-B135-23F5024E3E12}"/>
      </w:docPartPr>
      <w:docPartBody>
        <w:p>
          <w:pPr>
            <w:pStyle w:val="6"/>
          </w:pPr>
          <w:r>
            <w:rPr>
              <w:color w:val="7E7E7E" w:themeColor="background1" w:themeShade="7F"/>
              <w:lang w:val="zh-CN"/>
            </w:rPr>
            <w:t>[键入公司名称]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egoe UI Symbol">
    <w:altName w:val="Symbol"/>
    <w:panose1 w:val="020B0502040204020203"/>
    <w:charset w:val="00"/>
    <w:family w:val="auto"/>
    <w:pitch w:val="default"/>
    <w:sig w:usb0="00000000" w:usb1="00000000" w:usb2="0004C000" w:usb3="00000000" w:csb0="00000001" w:csb1="4000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  <w:font w:name="Segoe UI">
    <w:altName w:val="Shruti"/>
    <w:panose1 w:val="020B0502040204020203"/>
    <w:charset w:val="00"/>
    <w:family w:val="auto"/>
    <w:pitch w:val="default"/>
    <w:sig w:usb0="00000000" w:usb1="00000000" w:usb2="00000029" w:usb3="00000000" w:csb0="200001DF" w:csb1="2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3112"/>
    <w:rsid w:val="000450DF"/>
    <w:rsid w:val="003123AE"/>
    <w:rsid w:val="00436140"/>
    <w:rsid w:val="00E531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57BC088F528E443097476B996074894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9860675B12DA4A548248A5AE746E55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096CBB6B253040F88CEB0213ED2448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331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836627-1EB0-43C7-AD71-CD67C25B25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咨询：400-600-8011  邮箱：cfa@gaodun.cn  网站：finance.gaodun.cn</Company>
  <Pages>3</Pages>
  <Words>440</Words>
  <Characters>2508</Characters>
  <Lines>20</Lines>
  <Paragraphs>5</Paragraphs>
  <ScaleCrop>false</ScaleCrop>
  <LinksUpToDate>false</LinksUpToDate>
  <CharactersWithSpaces>2943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2016-01-13T07:18:00Z</dcterms:created>
  <dc:creator>杰 袁</dc:creator>
  <cp:lastModifiedBy>gaodun</cp:lastModifiedBy>
  <dcterms:modified xsi:type="dcterms:W3CDTF">2016-08-05T01:45:05Z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