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B19" w:rsidRDefault="00047DCF">
      <w:pPr>
        <w:jc w:val="center"/>
        <w:rPr>
          <w:sz w:val="28"/>
          <w:szCs w:val="28"/>
        </w:rPr>
      </w:pPr>
      <w:r>
        <w:rPr>
          <w:rFonts w:hint="eastAsia"/>
          <w:sz w:val="28"/>
          <w:szCs w:val="28"/>
        </w:rPr>
        <w:t>Alternative Investments</w:t>
      </w:r>
    </w:p>
    <w:p w:rsidR="00CB5B19" w:rsidRDefault="00047DCF">
      <w:pPr>
        <w:jc w:val="center"/>
        <w:rPr>
          <w:sz w:val="23"/>
          <w:szCs w:val="23"/>
        </w:rPr>
      </w:pPr>
      <w:r>
        <w:rPr>
          <w:sz w:val="23"/>
          <w:szCs w:val="23"/>
        </w:rPr>
        <w:t xml:space="preserve">(Time: </w:t>
      </w:r>
      <w:r>
        <w:rPr>
          <w:rFonts w:hint="eastAsia"/>
          <w:sz w:val="23"/>
          <w:szCs w:val="23"/>
        </w:rPr>
        <w:t>15</w:t>
      </w:r>
      <w:r>
        <w:rPr>
          <w:sz w:val="23"/>
          <w:szCs w:val="23"/>
        </w:rPr>
        <w:t xml:space="preserve"> Min.)</w:t>
      </w:r>
    </w:p>
    <w:p w:rsidR="00CB5B19" w:rsidRDefault="00047DCF">
      <w:pPr>
        <w:spacing w:before="240"/>
        <w:rPr>
          <w:sz w:val="23"/>
          <w:szCs w:val="23"/>
        </w:rPr>
      </w:pPr>
      <w:r>
        <w:rPr>
          <w:sz w:val="23"/>
          <w:szCs w:val="23"/>
        </w:rPr>
        <w:t xml:space="preserve">1. Compared to traditional investments, alternative investments are most likely to be more: </w:t>
      </w:r>
    </w:p>
    <w:p w:rsidR="00CB5B19" w:rsidRDefault="00047DCF">
      <w:pPr>
        <w:rPr>
          <w:sz w:val="23"/>
          <w:szCs w:val="23"/>
        </w:rPr>
      </w:pPr>
      <w:r>
        <w:rPr>
          <w:sz w:val="23"/>
          <w:szCs w:val="23"/>
        </w:rPr>
        <w:t>A. transparent</w:t>
      </w:r>
    </w:p>
    <w:p w:rsidR="00CB5B19" w:rsidRDefault="00047DCF">
      <w:pPr>
        <w:rPr>
          <w:sz w:val="23"/>
          <w:szCs w:val="23"/>
        </w:rPr>
      </w:pPr>
      <w:r>
        <w:rPr>
          <w:sz w:val="23"/>
          <w:szCs w:val="23"/>
        </w:rPr>
        <w:t>B. leveraged</w:t>
      </w:r>
    </w:p>
    <w:p w:rsidR="00CB5B19" w:rsidRDefault="00047DCF">
      <w:pPr>
        <w:rPr>
          <w:sz w:val="23"/>
          <w:szCs w:val="23"/>
        </w:rPr>
      </w:pPr>
      <w:r>
        <w:rPr>
          <w:sz w:val="23"/>
          <w:szCs w:val="23"/>
        </w:rPr>
        <w:t>C. liquid</w:t>
      </w:r>
    </w:p>
    <w:p w:rsidR="00CB5B19" w:rsidRDefault="00CB5B19">
      <w:pPr>
        <w:rPr>
          <w:sz w:val="23"/>
          <w:szCs w:val="23"/>
        </w:rPr>
      </w:pPr>
      <w:bookmarkStart w:id="0" w:name="_GoBack"/>
    </w:p>
    <w:bookmarkEnd w:id="0"/>
    <w:p w:rsidR="00CB5B19" w:rsidRDefault="00047DCF">
      <w:pPr>
        <w:rPr>
          <w:sz w:val="23"/>
          <w:szCs w:val="23"/>
        </w:rPr>
      </w:pPr>
      <w:r>
        <w:rPr>
          <w:rFonts w:hint="eastAsia"/>
          <w:bCs/>
          <w:sz w:val="23"/>
          <w:szCs w:val="23"/>
        </w:rPr>
        <w:t xml:space="preserve">Answer: </w:t>
      </w:r>
      <w:r>
        <w:rPr>
          <w:bCs/>
          <w:sz w:val="23"/>
          <w:szCs w:val="23"/>
        </w:rPr>
        <w:t>B</w:t>
      </w:r>
    </w:p>
    <w:p w:rsidR="00CB5B19" w:rsidRDefault="00047DCF">
      <w:pPr>
        <w:rPr>
          <w:sz w:val="23"/>
          <w:szCs w:val="23"/>
        </w:rPr>
      </w:pPr>
      <w:r>
        <w:rPr>
          <w:sz w:val="23"/>
          <w:szCs w:val="23"/>
        </w:rPr>
        <w:t>Alternative investments tend to use more leverage and are typically less liquid and less transparent than traditional investments.</w:t>
      </w:r>
    </w:p>
    <w:p w:rsidR="00CB5B19" w:rsidRDefault="00CB5B19">
      <w:pPr>
        <w:rPr>
          <w:sz w:val="23"/>
          <w:szCs w:val="23"/>
        </w:rPr>
      </w:pPr>
    </w:p>
    <w:p w:rsidR="00CB5B19" w:rsidRDefault="00CB5B19">
      <w:pPr>
        <w:rPr>
          <w:sz w:val="23"/>
          <w:szCs w:val="23"/>
        </w:rPr>
      </w:pPr>
    </w:p>
    <w:p w:rsidR="00CB5B19" w:rsidRDefault="003B477F">
      <w:pPr>
        <w:rPr>
          <w:sz w:val="23"/>
          <w:szCs w:val="23"/>
        </w:rPr>
      </w:pPr>
      <w:r>
        <w:rPr>
          <w:noProof/>
          <w:sz w:val="23"/>
          <w:szCs w:val="23"/>
        </w:rPr>
        <w:drawing>
          <wp:anchor distT="0" distB="0" distL="114300" distR="114300" simplePos="0" relativeHeight="251675648" behindDoc="1" locked="0" layoutInCell="1" allowOverlap="1" wp14:anchorId="41D40E7B" wp14:editId="7F3C4BB6">
            <wp:simplePos x="0" y="0"/>
            <wp:positionH relativeFrom="column">
              <wp:posOffset>4541666</wp:posOffset>
            </wp:positionH>
            <wp:positionV relativeFrom="paragraph">
              <wp:posOffset>201539</wp:posOffset>
            </wp:positionV>
            <wp:extent cx="1180377" cy="112498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高顿CFA二维码.png"/>
                    <pic:cNvPicPr/>
                  </pic:nvPicPr>
                  <pic:blipFill>
                    <a:blip r:embed="rId9"/>
                    <a:stretch>
                      <a:fillRect/>
                    </a:stretch>
                  </pic:blipFill>
                  <pic:spPr>
                    <a:xfrm>
                      <a:off x="0" y="0"/>
                      <a:ext cx="1180377" cy="1124980"/>
                    </a:xfrm>
                    <a:prstGeom prst="rect">
                      <a:avLst/>
                    </a:prstGeom>
                  </pic:spPr>
                </pic:pic>
              </a:graphicData>
            </a:graphic>
            <wp14:sizeRelH relativeFrom="margin">
              <wp14:pctWidth>0</wp14:pctWidth>
            </wp14:sizeRelH>
            <wp14:sizeRelV relativeFrom="margin">
              <wp14:pctHeight>0</wp14:pctHeight>
            </wp14:sizeRelV>
          </wp:anchor>
        </w:drawing>
      </w:r>
      <w:r w:rsidR="00047DCF">
        <w:rPr>
          <w:sz w:val="23"/>
          <w:szCs w:val="23"/>
        </w:rPr>
        <w:t>2. A portfolio manager who adds hedge funds to a portfolio of traditional securities is most likely seeking to:</w:t>
      </w:r>
    </w:p>
    <w:p w:rsidR="00CB5B19" w:rsidRDefault="00047DCF">
      <w:pPr>
        <w:rPr>
          <w:sz w:val="23"/>
          <w:szCs w:val="23"/>
        </w:rPr>
      </w:pPr>
      <w:r>
        <w:rPr>
          <w:sz w:val="23"/>
          <w:szCs w:val="23"/>
        </w:rPr>
        <w:t>A. increase</w:t>
      </w:r>
      <w:r>
        <w:rPr>
          <w:sz w:val="23"/>
          <w:szCs w:val="23"/>
        </w:rPr>
        <w:t xml:space="preserve"> expected returns only. </w:t>
      </w:r>
    </w:p>
    <w:p w:rsidR="00CB5B19" w:rsidRDefault="00047DCF">
      <w:pPr>
        <w:rPr>
          <w:sz w:val="23"/>
          <w:szCs w:val="23"/>
        </w:rPr>
      </w:pPr>
      <w:r>
        <w:rPr>
          <w:sz w:val="23"/>
          <w:szCs w:val="23"/>
        </w:rPr>
        <w:t xml:space="preserve">B. both increase expected returns and decrease portfolio variance. </w:t>
      </w:r>
    </w:p>
    <w:p w:rsidR="00CB5B19" w:rsidRDefault="00047DCF">
      <w:pPr>
        <w:rPr>
          <w:sz w:val="23"/>
          <w:szCs w:val="23"/>
        </w:rPr>
      </w:pPr>
      <w:r>
        <w:rPr>
          <w:sz w:val="23"/>
          <w:szCs w:val="23"/>
        </w:rPr>
        <w:t>C. decrease portfolio variance only.</w:t>
      </w:r>
    </w:p>
    <w:p w:rsidR="00CB5B19" w:rsidRDefault="00CB5B19">
      <w:pPr>
        <w:rPr>
          <w:sz w:val="23"/>
          <w:szCs w:val="23"/>
        </w:rPr>
      </w:pPr>
    </w:p>
    <w:p w:rsidR="00CB5B19" w:rsidRDefault="00047DCF">
      <w:pPr>
        <w:rPr>
          <w:sz w:val="23"/>
          <w:szCs w:val="23"/>
        </w:rPr>
      </w:pPr>
      <w:r>
        <w:rPr>
          <w:rFonts w:hint="eastAsia"/>
          <w:bCs/>
          <w:sz w:val="23"/>
          <w:szCs w:val="23"/>
        </w:rPr>
        <w:t xml:space="preserve">Answer: </w:t>
      </w:r>
      <w:r>
        <w:rPr>
          <w:bCs/>
          <w:sz w:val="23"/>
          <w:szCs w:val="23"/>
        </w:rPr>
        <w:t>B</w:t>
      </w:r>
    </w:p>
    <w:p w:rsidR="00CB5B19" w:rsidRDefault="00047DCF">
      <w:pPr>
        <w:rPr>
          <w:sz w:val="23"/>
          <w:szCs w:val="23"/>
        </w:rPr>
      </w:pPr>
      <w:r>
        <w:rPr>
          <w:sz w:val="23"/>
          <w:szCs w:val="23"/>
        </w:rPr>
        <w:t>For a portfolio of traditional securities, adding alternative investments such as hedge funds can potentially incre</w:t>
      </w:r>
      <w:r>
        <w:rPr>
          <w:sz w:val="23"/>
          <w:szCs w:val="23"/>
        </w:rPr>
        <w:t>ase the portfolio’s expected returns, because these investments often have higher expected returns than traditional investments, and decrease portfolio variance, because returns on these investments are less than perfectly correlated with returns on tradit</w:t>
      </w:r>
      <w:r>
        <w:rPr>
          <w:sz w:val="23"/>
          <w:szCs w:val="23"/>
        </w:rPr>
        <w:t>ional investments.</w:t>
      </w:r>
    </w:p>
    <w:p w:rsidR="00CB5B19" w:rsidRDefault="00CB5B19">
      <w:pPr>
        <w:rPr>
          <w:sz w:val="23"/>
          <w:szCs w:val="23"/>
        </w:rPr>
      </w:pPr>
    </w:p>
    <w:p w:rsidR="00CB5B19" w:rsidRDefault="00CB5B19">
      <w:pPr>
        <w:rPr>
          <w:sz w:val="23"/>
          <w:szCs w:val="23"/>
        </w:rPr>
      </w:pPr>
    </w:p>
    <w:p w:rsidR="00CB5B19" w:rsidRDefault="00047DCF">
      <w:pPr>
        <w:rPr>
          <w:sz w:val="23"/>
          <w:szCs w:val="23"/>
        </w:rPr>
      </w:pPr>
      <w:r>
        <w:rPr>
          <w:rFonts w:hint="eastAsia"/>
          <w:sz w:val="23"/>
          <w:szCs w:val="23"/>
        </w:rPr>
        <w:t>3</w:t>
      </w:r>
      <w:r>
        <w:rPr>
          <w:sz w:val="23"/>
          <w:szCs w:val="23"/>
        </w:rPr>
        <w:t>. Capital provided for companies beginning operation but before commercial manufacturing and sales have occurred best describes which stage in venture capital investing?</w:t>
      </w:r>
    </w:p>
    <w:p w:rsidR="00CB5B19" w:rsidRDefault="00047DCF">
      <w:pPr>
        <w:rPr>
          <w:sz w:val="23"/>
          <w:szCs w:val="23"/>
        </w:rPr>
      </w:pPr>
      <w:r>
        <w:rPr>
          <w:sz w:val="23"/>
          <w:szCs w:val="23"/>
        </w:rPr>
        <w:t>A. Seed-stage</w:t>
      </w:r>
    </w:p>
    <w:p w:rsidR="00CB5B19" w:rsidRDefault="00047DCF">
      <w:pPr>
        <w:rPr>
          <w:sz w:val="23"/>
          <w:szCs w:val="23"/>
        </w:rPr>
      </w:pPr>
      <w:r>
        <w:rPr>
          <w:sz w:val="23"/>
          <w:szCs w:val="23"/>
        </w:rPr>
        <w:t>B. Early-stage</w:t>
      </w:r>
    </w:p>
    <w:p w:rsidR="00CB5B19" w:rsidRDefault="00047DCF">
      <w:pPr>
        <w:rPr>
          <w:sz w:val="23"/>
          <w:szCs w:val="23"/>
        </w:rPr>
      </w:pPr>
      <w:r>
        <w:rPr>
          <w:sz w:val="23"/>
          <w:szCs w:val="23"/>
        </w:rPr>
        <w:t>C. Later-stage</w:t>
      </w:r>
    </w:p>
    <w:p w:rsidR="00CB5B19" w:rsidRDefault="00CB5B19">
      <w:pPr>
        <w:rPr>
          <w:sz w:val="23"/>
          <w:szCs w:val="23"/>
        </w:rPr>
      </w:pPr>
    </w:p>
    <w:p w:rsidR="00CB5B19" w:rsidRDefault="00047DCF">
      <w:pPr>
        <w:rPr>
          <w:sz w:val="23"/>
          <w:szCs w:val="23"/>
        </w:rPr>
      </w:pPr>
      <w:r>
        <w:rPr>
          <w:rFonts w:hint="eastAsia"/>
          <w:sz w:val="23"/>
          <w:szCs w:val="23"/>
        </w:rPr>
        <w:t xml:space="preserve">Answer: </w:t>
      </w:r>
      <w:r>
        <w:rPr>
          <w:sz w:val="23"/>
          <w:szCs w:val="23"/>
        </w:rPr>
        <w:t>B</w:t>
      </w:r>
    </w:p>
    <w:p w:rsidR="00CB5B19" w:rsidRDefault="00047DCF">
      <w:pPr>
        <w:rPr>
          <w:sz w:val="23"/>
          <w:szCs w:val="23"/>
        </w:rPr>
      </w:pPr>
      <w:r>
        <w:rPr>
          <w:sz w:val="23"/>
          <w:szCs w:val="23"/>
        </w:rPr>
        <w:t>Early-stage financing is capital provided for companies moving into operation and before commercial manufacturing and sales have occurred.</w:t>
      </w:r>
    </w:p>
    <w:p w:rsidR="00CB5B19" w:rsidRDefault="00CB5B19">
      <w:pPr>
        <w:rPr>
          <w:sz w:val="23"/>
          <w:szCs w:val="23"/>
        </w:rPr>
      </w:pPr>
    </w:p>
    <w:p w:rsidR="00CB5B19" w:rsidRDefault="00CB5B19">
      <w:pPr>
        <w:rPr>
          <w:sz w:val="23"/>
          <w:szCs w:val="23"/>
        </w:rPr>
      </w:pPr>
    </w:p>
    <w:p w:rsidR="00CB5B19" w:rsidRDefault="003B477F">
      <w:pPr>
        <w:rPr>
          <w:sz w:val="23"/>
          <w:szCs w:val="23"/>
        </w:rPr>
      </w:pPr>
      <w:r>
        <w:rPr>
          <w:rFonts w:hint="eastAsia"/>
          <w:noProof/>
          <w:sz w:val="28"/>
          <w:szCs w:val="28"/>
        </w:rPr>
        <w:drawing>
          <wp:anchor distT="0" distB="0" distL="114300" distR="114300" simplePos="0" relativeHeight="251651072" behindDoc="1" locked="0" layoutInCell="1" allowOverlap="1">
            <wp:simplePos x="0" y="0"/>
            <wp:positionH relativeFrom="column">
              <wp:posOffset>5285056</wp:posOffset>
            </wp:positionH>
            <wp:positionV relativeFrom="paragraph">
              <wp:posOffset>214239</wp:posOffset>
            </wp:positionV>
            <wp:extent cx="1279525" cy="1219359"/>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l.png"/>
                    <pic:cNvPicPr/>
                  </pic:nvPicPr>
                  <pic:blipFill>
                    <a:blip r:embed="rId10"/>
                    <a:stretch>
                      <a:fillRect/>
                    </a:stretch>
                  </pic:blipFill>
                  <pic:spPr>
                    <a:xfrm>
                      <a:off x="0" y="0"/>
                      <a:ext cx="1279525" cy="1219359"/>
                    </a:xfrm>
                    <a:prstGeom prst="rect">
                      <a:avLst/>
                    </a:prstGeom>
                  </pic:spPr>
                </pic:pic>
              </a:graphicData>
            </a:graphic>
            <wp14:sizeRelH relativeFrom="margin">
              <wp14:pctWidth>0</wp14:pctWidth>
            </wp14:sizeRelH>
            <wp14:sizeRelV relativeFrom="margin">
              <wp14:pctHeight>0</wp14:pctHeight>
            </wp14:sizeRelV>
          </wp:anchor>
        </w:drawing>
      </w:r>
      <w:r w:rsidR="00047DCF">
        <w:rPr>
          <w:rFonts w:hint="eastAsia"/>
          <w:sz w:val="23"/>
          <w:szCs w:val="23"/>
        </w:rPr>
        <w:t>4</w:t>
      </w:r>
      <w:r w:rsidR="00047DCF">
        <w:rPr>
          <w:sz w:val="23"/>
          <w:szCs w:val="23"/>
        </w:rPr>
        <w:t xml:space="preserve">. Which of the following statements is </w:t>
      </w:r>
      <w:r w:rsidR="00047DCF">
        <w:rPr>
          <w:i/>
          <w:sz w:val="23"/>
          <w:szCs w:val="23"/>
        </w:rPr>
        <w:t>least likely</w:t>
      </w:r>
      <w:r w:rsidR="00047DCF">
        <w:rPr>
          <w:sz w:val="23"/>
          <w:szCs w:val="23"/>
        </w:rPr>
        <w:t xml:space="preserve"> an advantage of investing in hedge funds through a fund of fun</w:t>
      </w:r>
      <w:r w:rsidR="00047DCF">
        <w:rPr>
          <w:sz w:val="23"/>
          <w:szCs w:val="23"/>
        </w:rPr>
        <w:t>ds? Funds of funds provide:</w:t>
      </w:r>
    </w:p>
    <w:p w:rsidR="00CB5B19" w:rsidRDefault="00047DCF">
      <w:pPr>
        <w:rPr>
          <w:sz w:val="23"/>
          <w:szCs w:val="23"/>
        </w:rPr>
      </w:pPr>
      <w:r>
        <w:rPr>
          <w:sz w:val="23"/>
          <w:szCs w:val="23"/>
        </w:rPr>
        <w:t>A. an increase in expected return through diversification.</w:t>
      </w:r>
    </w:p>
    <w:p w:rsidR="00CB5B19" w:rsidRDefault="00047DCF">
      <w:pPr>
        <w:rPr>
          <w:sz w:val="23"/>
          <w:szCs w:val="23"/>
        </w:rPr>
      </w:pPr>
      <w:r>
        <w:rPr>
          <w:sz w:val="23"/>
          <w:szCs w:val="23"/>
        </w:rPr>
        <w:t>B. expertise in selecting funds and conducting due diligence.</w:t>
      </w:r>
    </w:p>
    <w:p w:rsidR="00CB5B19" w:rsidRDefault="00047DCF">
      <w:pPr>
        <w:rPr>
          <w:sz w:val="23"/>
          <w:szCs w:val="23"/>
        </w:rPr>
      </w:pPr>
      <w:r>
        <w:rPr>
          <w:sz w:val="23"/>
          <w:szCs w:val="23"/>
        </w:rPr>
        <w:t>C. access to successful funds that may otherwise be closed to new investors.</w:t>
      </w:r>
    </w:p>
    <w:p w:rsidR="00CB5B19" w:rsidRDefault="00CB5B19">
      <w:pPr>
        <w:rPr>
          <w:sz w:val="23"/>
          <w:szCs w:val="23"/>
        </w:rPr>
      </w:pPr>
    </w:p>
    <w:p w:rsidR="00CB5B19" w:rsidRDefault="00047DCF">
      <w:pPr>
        <w:rPr>
          <w:sz w:val="23"/>
          <w:szCs w:val="23"/>
        </w:rPr>
      </w:pPr>
      <w:r>
        <w:rPr>
          <w:rFonts w:hint="eastAsia"/>
          <w:sz w:val="23"/>
          <w:szCs w:val="23"/>
        </w:rPr>
        <w:t>Answer:</w:t>
      </w:r>
      <w:r>
        <w:rPr>
          <w:sz w:val="23"/>
          <w:szCs w:val="23"/>
        </w:rPr>
        <w:t xml:space="preserve"> A</w:t>
      </w:r>
    </w:p>
    <w:p w:rsidR="00CB5B19" w:rsidRDefault="00047DCF">
      <w:pPr>
        <w:rPr>
          <w:sz w:val="23"/>
          <w:szCs w:val="23"/>
        </w:rPr>
      </w:pPr>
      <w:r>
        <w:rPr>
          <w:rFonts w:hint="eastAsia"/>
          <w:sz w:val="23"/>
          <w:szCs w:val="23"/>
        </w:rPr>
        <w:lastRenderedPageBreak/>
        <w:t>D</w:t>
      </w:r>
      <w:r>
        <w:rPr>
          <w:sz w:val="23"/>
          <w:szCs w:val="23"/>
        </w:rPr>
        <w:t>iversification res</w:t>
      </w:r>
      <w:r>
        <w:rPr>
          <w:sz w:val="23"/>
          <w:szCs w:val="23"/>
        </w:rPr>
        <w:t>ults in risk reduction</w:t>
      </w:r>
      <w:r>
        <w:rPr>
          <w:rFonts w:hint="eastAsia"/>
          <w:sz w:val="23"/>
          <w:szCs w:val="23"/>
        </w:rPr>
        <w:t>,</w:t>
      </w:r>
      <w:r>
        <w:rPr>
          <w:sz w:val="23"/>
          <w:szCs w:val="23"/>
        </w:rPr>
        <w:t xml:space="preserve"> not return enhancement. Further, the fees charged by the fund of funds manager will likely reduce returns relative to direct hedge fund investment.</w:t>
      </w:r>
    </w:p>
    <w:p w:rsidR="00CB5B19" w:rsidRDefault="00CB5B19">
      <w:pPr>
        <w:rPr>
          <w:bCs/>
          <w:sz w:val="23"/>
          <w:szCs w:val="23"/>
        </w:rPr>
      </w:pPr>
    </w:p>
    <w:p w:rsidR="00CB5B19" w:rsidRDefault="00CB5B19">
      <w:pPr>
        <w:rPr>
          <w:bCs/>
          <w:sz w:val="23"/>
          <w:szCs w:val="23"/>
        </w:rPr>
      </w:pPr>
    </w:p>
    <w:p w:rsidR="00CB5B19" w:rsidRDefault="003B477F">
      <w:pPr>
        <w:rPr>
          <w:sz w:val="23"/>
          <w:szCs w:val="23"/>
        </w:rPr>
      </w:pPr>
      <w:r>
        <w:rPr>
          <w:noProof/>
          <w:sz w:val="23"/>
          <w:szCs w:val="23"/>
        </w:rPr>
        <w:drawing>
          <wp:anchor distT="0" distB="0" distL="114300" distR="114300" simplePos="0" relativeHeight="251669504" behindDoc="1" locked="0" layoutInCell="1" allowOverlap="1" wp14:anchorId="41D40E7B" wp14:editId="7F3C4BB6">
            <wp:simplePos x="0" y="0"/>
            <wp:positionH relativeFrom="column">
              <wp:posOffset>4302076</wp:posOffset>
            </wp:positionH>
            <wp:positionV relativeFrom="paragraph">
              <wp:posOffset>280329</wp:posOffset>
            </wp:positionV>
            <wp:extent cx="1166074" cy="1111348"/>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高顿CFA二维码.png"/>
                    <pic:cNvPicPr/>
                  </pic:nvPicPr>
                  <pic:blipFill>
                    <a:blip r:embed="rId9"/>
                    <a:stretch>
                      <a:fillRect/>
                    </a:stretch>
                  </pic:blipFill>
                  <pic:spPr>
                    <a:xfrm>
                      <a:off x="0" y="0"/>
                      <a:ext cx="1169469" cy="1114583"/>
                    </a:xfrm>
                    <a:prstGeom prst="rect">
                      <a:avLst/>
                    </a:prstGeom>
                  </pic:spPr>
                </pic:pic>
              </a:graphicData>
            </a:graphic>
            <wp14:sizeRelH relativeFrom="margin">
              <wp14:pctWidth>0</wp14:pctWidth>
            </wp14:sizeRelH>
            <wp14:sizeRelV relativeFrom="margin">
              <wp14:pctHeight>0</wp14:pctHeight>
            </wp14:sizeRelV>
          </wp:anchor>
        </w:drawing>
      </w:r>
      <w:r w:rsidR="00047DCF">
        <w:rPr>
          <w:rFonts w:hint="eastAsia"/>
          <w:sz w:val="23"/>
          <w:szCs w:val="23"/>
        </w:rPr>
        <w:t>5</w:t>
      </w:r>
      <w:r w:rsidR="00047DCF">
        <w:rPr>
          <w:sz w:val="23"/>
          <w:szCs w:val="23"/>
        </w:rPr>
        <w:t xml:space="preserve">. Which classification of hedge funds is </w:t>
      </w:r>
      <w:r w:rsidR="00047DCF">
        <w:rPr>
          <w:i/>
          <w:sz w:val="23"/>
          <w:szCs w:val="23"/>
        </w:rPr>
        <w:t>least likely</w:t>
      </w:r>
      <w:r w:rsidR="00047DCF">
        <w:rPr>
          <w:sz w:val="23"/>
          <w:szCs w:val="23"/>
        </w:rPr>
        <w:t xml:space="preserve"> to use a short position in </w:t>
      </w:r>
      <w:r w:rsidR="00047DCF">
        <w:rPr>
          <w:sz w:val="23"/>
          <w:szCs w:val="23"/>
        </w:rPr>
        <w:t>stock as a part of its strategy?</w:t>
      </w:r>
    </w:p>
    <w:p w:rsidR="00CB5B19" w:rsidRDefault="00047DCF">
      <w:pPr>
        <w:rPr>
          <w:sz w:val="23"/>
          <w:szCs w:val="23"/>
        </w:rPr>
      </w:pPr>
      <w:r>
        <w:rPr>
          <w:sz w:val="23"/>
          <w:szCs w:val="23"/>
        </w:rPr>
        <w:t>A. Market-neutral funds.</w:t>
      </w:r>
    </w:p>
    <w:p w:rsidR="00CB5B19" w:rsidRDefault="00047DCF">
      <w:pPr>
        <w:rPr>
          <w:sz w:val="23"/>
          <w:szCs w:val="23"/>
        </w:rPr>
      </w:pPr>
      <w:r>
        <w:rPr>
          <w:sz w:val="23"/>
          <w:szCs w:val="23"/>
        </w:rPr>
        <w:t>B. Emerging-market funds.</w:t>
      </w:r>
    </w:p>
    <w:p w:rsidR="00CB5B19" w:rsidRDefault="00047DCF">
      <w:pPr>
        <w:rPr>
          <w:sz w:val="23"/>
          <w:szCs w:val="23"/>
        </w:rPr>
      </w:pPr>
      <w:r>
        <w:rPr>
          <w:sz w:val="23"/>
          <w:szCs w:val="23"/>
        </w:rPr>
        <w:t>C. Distressed securities funds.</w:t>
      </w:r>
    </w:p>
    <w:p w:rsidR="00CB5B19" w:rsidRDefault="00CB5B19">
      <w:pPr>
        <w:rPr>
          <w:sz w:val="23"/>
          <w:szCs w:val="23"/>
        </w:rPr>
      </w:pPr>
    </w:p>
    <w:p w:rsidR="00CB5B19" w:rsidRDefault="00047DCF">
      <w:pPr>
        <w:rPr>
          <w:sz w:val="23"/>
          <w:szCs w:val="23"/>
        </w:rPr>
      </w:pPr>
      <w:r>
        <w:rPr>
          <w:rFonts w:hint="eastAsia"/>
          <w:sz w:val="23"/>
          <w:szCs w:val="23"/>
        </w:rPr>
        <w:t>Answer:</w:t>
      </w:r>
      <w:r>
        <w:rPr>
          <w:sz w:val="23"/>
          <w:szCs w:val="23"/>
        </w:rPr>
        <w:t xml:space="preserve"> B</w:t>
      </w:r>
    </w:p>
    <w:p w:rsidR="00CB5B19" w:rsidRDefault="00047DCF">
      <w:pPr>
        <w:rPr>
          <w:sz w:val="23"/>
          <w:szCs w:val="23"/>
        </w:rPr>
      </w:pPr>
      <w:r>
        <w:rPr>
          <w:sz w:val="23"/>
          <w:szCs w:val="23"/>
        </w:rPr>
        <w:t>Emerging-market funds invest in less liquid and less efficient assets of emerging markets that are difficult to short.</w:t>
      </w:r>
    </w:p>
    <w:p w:rsidR="00CB5B19" w:rsidRDefault="00CB5B19">
      <w:pPr>
        <w:rPr>
          <w:sz w:val="23"/>
          <w:szCs w:val="23"/>
        </w:rPr>
      </w:pPr>
    </w:p>
    <w:p w:rsidR="00CB5B19" w:rsidRDefault="00CB5B19">
      <w:pPr>
        <w:rPr>
          <w:sz w:val="23"/>
          <w:szCs w:val="23"/>
        </w:rPr>
      </w:pPr>
    </w:p>
    <w:p w:rsidR="00CB5B19" w:rsidRDefault="00047DCF">
      <w:pPr>
        <w:rPr>
          <w:sz w:val="23"/>
          <w:szCs w:val="23"/>
        </w:rPr>
      </w:pPr>
      <w:r>
        <w:rPr>
          <w:sz w:val="23"/>
          <w:szCs w:val="23"/>
        </w:rPr>
        <w:t xml:space="preserve">6. The period of time within which a hedge fund must fulfill a redemption request is the: </w:t>
      </w:r>
    </w:p>
    <w:p w:rsidR="00CB5B19" w:rsidRDefault="00047DCF">
      <w:pPr>
        <w:rPr>
          <w:sz w:val="23"/>
          <w:szCs w:val="23"/>
        </w:rPr>
      </w:pPr>
      <w:r>
        <w:rPr>
          <w:sz w:val="23"/>
          <w:szCs w:val="23"/>
        </w:rPr>
        <w:t xml:space="preserve">A. lockup period. </w:t>
      </w:r>
    </w:p>
    <w:p w:rsidR="00CB5B19" w:rsidRDefault="00047DCF">
      <w:pPr>
        <w:rPr>
          <w:sz w:val="23"/>
          <w:szCs w:val="23"/>
        </w:rPr>
      </w:pPr>
      <w:r>
        <w:rPr>
          <w:sz w:val="23"/>
          <w:szCs w:val="23"/>
        </w:rPr>
        <w:t xml:space="preserve">B) notice period. </w:t>
      </w:r>
    </w:p>
    <w:p w:rsidR="00CB5B19" w:rsidRDefault="00047DCF">
      <w:pPr>
        <w:rPr>
          <w:sz w:val="23"/>
          <w:szCs w:val="23"/>
        </w:rPr>
      </w:pPr>
      <w:r>
        <w:rPr>
          <w:sz w:val="23"/>
          <w:szCs w:val="23"/>
        </w:rPr>
        <w:t>C) withdrawal period.</w:t>
      </w:r>
      <w:r w:rsidR="003B477F" w:rsidRPr="003B477F">
        <w:rPr>
          <w:noProof/>
          <w:sz w:val="23"/>
          <w:szCs w:val="23"/>
        </w:rPr>
        <w:t xml:space="preserve"> </w:t>
      </w:r>
    </w:p>
    <w:p w:rsidR="00CB5B19" w:rsidRDefault="00CB5B19">
      <w:pPr>
        <w:rPr>
          <w:sz w:val="23"/>
          <w:szCs w:val="23"/>
        </w:rPr>
      </w:pPr>
    </w:p>
    <w:p w:rsidR="00CB5B19" w:rsidRDefault="00047DCF">
      <w:pPr>
        <w:rPr>
          <w:sz w:val="23"/>
          <w:szCs w:val="23"/>
        </w:rPr>
      </w:pPr>
      <w:r>
        <w:rPr>
          <w:rFonts w:hint="eastAsia"/>
          <w:bCs/>
          <w:sz w:val="23"/>
          <w:szCs w:val="23"/>
        </w:rPr>
        <w:t xml:space="preserve">Answer: </w:t>
      </w:r>
      <w:r>
        <w:rPr>
          <w:bCs/>
          <w:sz w:val="23"/>
          <w:szCs w:val="23"/>
        </w:rPr>
        <w:t>B</w:t>
      </w:r>
    </w:p>
    <w:p w:rsidR="00CB5B19" w:rsidRDefault="00047DCF">
      <w:pPr>
        <w:rPr>
          <w:sz w:val="23"/>
          <w:szCs w:val="23"/>
        </w:rPr>
      </w:pPr>
      <w:r>
        <w:rPr>
          <w:sz w:val="23"/>
          <w:szCs w:val="23"/>
        </w:rPr>
        <w:t xml:space="preserve">A notice period, typically 30 to 90 days, is the amount of time a fund has after receiving </w:t>
      </w:r>
      <w:r>
        <w:rPr>
          <w:sz w:val="23"/>
          <w:szCs w:val="23"/>
        </w:rPr>
        <w:t>notice of a redemption request to fulfill the redemption request. A lockup period is a minimum length of time before an investor may redeem shares or make withdrawals.</w:t>
      </w:r>
    </w:p>
    <w:p w:rsidR="00CB5B19" w:rsidRDefault="00CB5B19">
      <w:pPr>
        <w:rPr>
          <w:sz w:val="23"/>
          <w:szCs w:val="23"/>
        </w:rPr>
      </w:pPr>
    </w:p>
    <w:p w:rsidR="00CB5B19" w:rsidRDefault="00CB5B19">
      <w:pPr>
        <w:rPr>
          <w:sz w:val="23"/>
          <w:szCs w:val="23"/>
        </w:rPr>
      </w:pPr>
    </w:p>
    <w:p w:rsidR="00CB5B19" w:rsidRDefault="00047DCF">
      <w:pPr>
        <w:rPr>
          <w:sz w:val="23"/>
          <w:szCs w:val="23"/>
        </w:rPr>
      </w:pPr>
      <w:r>
        <w:rPr>
          <w:rFonts w:hint="eastAsia"/>
          <w:sz w:val="23"/>
          <w:szCs w:val="23"/>
        </w:rPr>
        <w:t>7</w:t>
      </w:r>
      <w:r>
        <w:rPr>
          <w:sz w:val="23"/>
          <w:szCs w:val="23"/>
        </w:rPr>
        <w:t xml:space="preserve">. A typical hedge fund fee structure is </w:t>
      </w:r>
      <w:r>
        <w:rPr>
          <w:i/>
          <w:sz w:val="23"/>
          <w:szCs w:val="23"/>
        </w:rPr>
        <w:t>least likely</w:t>
      </w:r>
      <w:r>
        <w:rPr>
          <w:sz w:val="23"/>
          <w:szCs w:val="23"/>
        </w:rPr>
        <w:t xml:space="preserve"> to include a:</w:t>
      </w:r>
    </w:p>
    <w:p w:rsidR="00CB5B19" w:rsidRDefault="00047DCF">
      <w:pPr>
        <w:rPr>
          <w:sz w:val="23"/>
          <w:szCs w:val="23"/>
        </w:rPr>
      </w:pPr>
      <w:r>
        <w:rPr>
          <w:sz w:val="23"/>
          <w:szCs w:val="23"/>
        </w:rPr>
        <w:t>A. base fee.</w:t>
      </w:r>
    </w:p>
    <w:p w:rsidR="00CB5B19" w:rsidRDefault="00047DCF">
      <w:pPr>
        <w:rPr>
          <w:sz w:val="23"/>
          <w:szCs w:val="23"/>
        </w:rPr>
      </w:pPr>
      <w:r>
        <w:rPr>
          <w:sz w:val="23"/>
          <w:szCs w:val="23"/>
        </w:rPr>
        <w:t>B. hi</w:t>
      </w:r>
      <w:r>
        <w:rPr>
          <w:sz w:val="23"/>
          <w:szCs w:val="23"/>
        </w:rPr>
        <w:t>gh water mark.</w:t>
      </w:r>
    </w:p>
    <w:p w:rsidR="00CB5B19" w:rsidRDefault="00047DCF">
      <w:pPr>
        <w:rPr>
          <w:sz w:val="23"/>
          <w:szCs w:val="23"/>
        </w:rPr>
      </w:pPr>
      <w:r>
        <w:rPr>
          <w:sz w:val="23"/>
          <w:szCs w:val="23"/>
        </w:rPr>
        <w:t>C. negative incentive fee.</w:t>
      </w:r>
    </w:p>
    <w:p w:rsidR="00CB5B19" w:rsidRDefault="00CB5B19">
      <w:pPr>
        <w:rPr>
          <w:sz w:val="23"/>
          <w:szCs w:val="23"/>
        </w:rPr>
      </w:pPr>
    </w:p>
    <w:p w:rsidR="00CB5B19" w:rsidRDefault="00047DCF">
      <w:pPr>
        <w:rPr>
          <w:sz w:val="23"/>
          <w:szCs w:val="23"/>
        </w:rPr>
      </w:pPr>
      <w:r>
        <w:rPr>
          <w:rFonts w:hint="eastAsia"/>
          <w:sz w:val="23"/>
          <w:szCs w:val="23"/>
        </w:rPr>
        <w:t>Answer:</w:t>
      </w:r>
      <w:r>
        <w:rPr>
          <w:sz w:val="23"/>
          <w:szCs w:val="23"/>
        </w:rPr>
        <w:t xml:space="preserve"> C</w:t>
      </w:r>
    </w:p>
    <w:p w:rsidR="00CB5B19" w:rsidRDefault="00047DCF">
      <w:pPr>
        <w:rPr>
          <w:sz w:val="23"/>
          <w:szCs w:val="23"/>
        </w:rPr>
      </w:pPr>
      <w:r>
        <w:rPr>
          <w:sz w:val="23"/>
          <w:szCs w:val="23"/>
        </w:rPr>
        <w:t>C is correct because the fee structure can include a base fee and “high water mark” but not a negative performance fee. The lowest performance fee would be zero.</w:t>
      </w:r>
    </w:p>
    <w:p w:rsidR="00CB5B19" w:rsidRDefault="00CB5B19">
      <w:pPr>
        <w:rPr>
          <w:sz w:val="23"/>
          <w:szCs w:val="23"/>
        </w:rPr>
      </w:pPr>
    </w:p>
    <w:p w:rsidR="00CB5B19" w:rsidRDefault="003B477F">
      <w:pPr>
        <w:rPr>
          <w:sz w:val="23"/>
          <w:szCs w:val="23"/>
        </w:rPr>
      </w:pPr>
      <w:r>
        <w:rPr>
          <w:rFonts w:hint="eastAsia"/>
          <w:noProof/>
          <w:sz w:val="28"/>
          <w:szCs w:val="28"/>
        </w:rPr>
        <w:drawing>
          <wp:anchor distT="0" distB="0" distL="114300" distR="114300" simplePos="0" relativeHeight="251656192" behindDoc="1" locked="0" layoutInCell="1" allowOverlap="1" wp14:anchorId="35C06384" wp14:editId="30B695DF">
            <wp:simplePos x="0" y="0"/>
            <wp:positionH relativeFrom="column">
              <wp:posOffset>5247249</wp:posOffset>
            </wp:positionH>
            <wp:positionV relativeFrom="paragraph">
              <wp:posOffset>29307</wp:posOffset>
            </wp:positionV>
            <wp:extent cx="1279525" cy="1219359"/>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l.png"/>
                    <pic:cNvPicPr/>
                  </pic:nvPicPr>
                  <pic:blipFill>
                    <a:blip r:embed="rId10"/>
                    <a:stretch>
                      <a:fillRect/>
                    </a:stretch>
                  </pic:blipFill>
                  <pic:spPr>
                    <a:xfrm>
                      <a:off x="0" y="0"/>
                      <a:ext cx="1279525" cy="1219359"/>
                    </a:xfrm>
                    <a:prstGeom prst="rect">
                      <a:avLst/>
                    </a:prstGeom>
                  </pic:spPr>
                </pic:pic>
              </a:graphicData>
            </a:graphic>
            <wp14:sizeRelH relativeFrom="margin">
              <wp14:pctWidth>0</wp14:pctWidth>
            </wp14:sizeRelH>
            <wp14:sizeRelV relativeFrom="margin">
              <wp14:pctHeight>0</wp14:pctHeight>
            </wp14:sizeRelV>
          </wp:anchor>
        </w:drawing>
      </w:r>
    </w:p>
    <w:p w:rsidR="00CB5B19" w:rsidRDefault="00047DCF">
      <w:pPr>
        <w:rPr>
          <w:sz w:val="23"/>
          <w:szCs w:val="23"/>
        </w:rPr>
      </w:pPr>
      <w:r>
        <w:rPr>
          <w:sz w:val="23"/>
          <w:szCs w:val="23"/>
        </w:rPr>
        <w:t>8. A form of direct investment in mortg</w:t>
      </w:r>
      <w:r>
        <w:rPr>
          <w:sz w:val="23"/>
          <w:szCs w:val="23"/>
        </w:rPr>
        <w:t xml:space="preserve">ages is: </w:t>
      </w:r>
    </w:p>
    <w:p w:rsidR="00CB5B19" w:rsidRDefault="00047DCF">
      <w:pPr>
        <w:rPr>
          <w:sz w:val="23"/>
          <w:szCs w:val="23"/>
        </w:rPr>
      </w:pPr>
      <w:r>
        <w:rPr>
          <w:sz w:val="23"/>
          <w:szCs w:val="23"/>
        </w:rPr>
        <w:t xml:space="preserve">A. commercial mortgage-backed securities. </w:t>
      </w:r>
    </w:p>
    <w:p w:rsidR="00CB5B19" w:rsidRDefault="00047DCF">
      <w:pPr>
        <w:rPr>
          <w:sz w:val="23"/>
          <w:szCs w:val="23"/>
        </w:rPr>
      </w:pPr>
      <w:r>
        <w:rPr>
          <w:sz w:val="23"/>
          <w:szCs w:val="23"/>
        </w:rPr>
        <w:t xml:space="preserve">B. whole loans. </w:t>
      </w:r>
    </w:p>
    <w:p w:rsidR="00CB5B19" w:rsidRDefault="00047DCF">
      <w:pPr>
        <w:rPr>
          <w:sz w:val="23"/>
          <w:szCs w:val="23"/>
        </w:rPr>
      </w:pPr>
      <w:r>
        <w:rPr>
          <w:sz w:val="23"/>
          <w:szCs w:val="23"/>
        </w:rPr>
        <w:t>C. mortgage real estate investment trusts.</w:t>
      </w:r>
    </w:p>
    <w:p w:rsidR="00CB5B19" w:rsidRDefault="00CB5B19">
      <w:pPr>
        <w:rPr>
          <w:sz w:val="23"/>
          <w:szCs w:val="23"/>
        </w:rPr>
      </w:pPr>
    </w:p>
    <w:p w:rsidR="00CB5B19" w:rsidRDefault="00047DCF">
      <w:pPr>
        <w:rPr>
          <w:sz w:val="23"/>
          <w:szCs w:val="23"/>
        </w:rPr>
      </w:pPr>
      <w:r>
        <w:rPr>
          <w:rFonts w:hint="eastAsia"/>
          <w:bCs/>
          <w:sz w:val="23"/>
          <w:szCs w:val="23"/>
        </w:rPr>
        <w:t xml:space="preserve">Answer: </w:t>
      </w:r>
      <w:r>
        <w:rPr>
          <w:bCs/>
          <w:sz w:val="23"/>
          <w:szCs w:val="23"/>
        </w:rPr>
        <w:t xml:space="preserve">B </w:t>
      </w:r>
    </w:p>
    <w:p w:rsidR="00CB5B19" w:rsidRDefault="00047DCF">
      <w:pPr>
        <w:rPr>
          <w:sz w:val="23"/>
          <w:szCs w:val="23"/>
        </w:rPr>
      </w:pPr>
      <w:r>
        <w:rPr>
          <w:sz w:val="23"/>
          <w:szCs w:val="23"/>
        </w:rPr>
        <w:t>Whole loans (i.e., commercial property mortgages) are considered direct investments. Commercial mortgage-backed securities (CMBS) a</w:t>
      </w:r>
      <w:r>
        <w:rPr>
          <w:sz w:val="23"/>
          <w:szCs w:val="23"/>
        </w:rPr>
        <w:t>nd mortgage REITs are indirect investments.</w:t>
      </w:r>
    </w:p>
    <w:p w:rsidR="00CB5B19" w:rsidRDefault="00CB5B19">
      <w:pPr>
        <w:rPr>
          <w:sz w:val="23"/>
          <w:szCs w:val="23"/>
        </w:rPr>
      </w:pPr>
    </w:p>
    <w:p w:rsidR="00CB5B19" w:rsidRDefault="00CB5B19">
      <w:pPr>
        <w:rPr>
          <w:sz w:val="23"/>
          <w:szCs w:val="23"/>
        </w:rPr>
      </w:pPr>
    </w:p>
    <w:p w:rsidR="00CB5B19" w:rsidRDefault="00047DCF">
      <w:pPr>
        <w:rPr>
          <w:sz w:val="23"/>
          <w:szCs w:val="23"/>
        </w:rPr>
      </w:pPr>
      <w:r>
        <w:rPr>
          <w:sz w:val="23"/>
          <w:szCs w:val="23"/>
        </w:rPr>
        <w:t>9. A Canadian hedge fund has a value of C$100 million at the beginning of the year. The fund charges a 2% management fee based on assets under management at the beginning of the year and a 20% incentive fee wit</w:t>
      </w:r>
      <w:r>
        <w:rPr>
          <w:sz w:val="23"/>
          <w:szCs w:val="23"/>
        </w:rPr>
        <w:t xml:space="preserve">h a 10% hard hurdle rate. Incentive fees are calculated net of management fees. The value at the end of the year before fees is C$112 million. The net return to investors is closest to: </w:t>
      </w:r>
    </w:p>
    <w:p w:rsidR="00CB5B19" w:rsidRDefault="00047DCF">
      <w:pPr>
        <w:rPr>
          <w:sz w:val="23"/>
          <w:szCs w:val="23"/>
        </w:rPr>
      </w:pPr>
      <w:r>
        <w:rPr>
          <w:sz w:val="23"/>
          <w:szCs w:val="23"/>
        </w:rPr>
        <w:t xml:space="preserve">A. 10%. </w:t>
      </w:r>
    </w:p>
    <w:p w:rsidR="00CB5B19" w:rsidRDefault="003B477F">
      <w:pPr>
        <w:rPr>
          <w:sz w:val="23"/>
          <w:szCs w:val="23"/>
        </w:rPr>
      </w:pPr>
      <w:r>
        <w:rPr>
          <w:rFonts w:hint="eastAsia"/>
          <w:noProof/>
          <w:sz w:val="28"/>
          <w:szCs w:val="28"/>
        </w:rPr>
        <w:drawing>
          <wp:anchor distT="0" distB="0" distL="114300" distR="114300" simplePos="0" relativeHeight="251660288" behindDoc="1" locked="0" layoutInCell="1" allowOverlap="1" wp14:anchorId="35C06384" wp14:editId="30B695DF">
            <wp:simplePos x="0" y="0"/>
            <wp:positionH relativeFrom="column">
              <wp:posOffset>5030910</wp:posOffset>
            </wp:positionH>
            <wp:positionV relativeFrom="paragraph">
              <wp:posOffset>20613</wp:posOffset>
            </wp:positionV>
            <wp:extent cx="1279525" cy="1219359"/>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l.png"/>
                    <pic:cNvPicPr/>
                  </pic:nvPicPr>
                  <pic:blipFill>
                    <a:blip r:embed="rId10"/>
                    <a:stretch>
                      <a:fillRect/>
                    </a:stretch>
                  </pic:blipFill>
                  <pic:spPr>
                    <a:xfrm>
                      <a:off x="0" y="0"/>
                      <a:ext cx="1279525" cy="1219359"/>
                    </a:xfrm>
                    <a:prstGeom prst="rect">
                      <a:avLst/>
                    </a:prstGeom>
                  </pic:spPr>
                </pic:pic>
              </a:graphicData>
            </a:graphic>
            <wp14:sizeRelH relativeFrom="margin">
              <wp14:pctWidth>0</wp14:pctWidth>
            </wp14:sizeRelH>
            <wp14:sizeRelV relativeFrom="margin">
              <wp14:pctHeight>0</wp14:pctHeight>
            </wp14:sizeRelV>
          </wp:anchor>
        </w:drawing>
      </w:r>
      <w:r w:rsidR="00047DCF">
        <w:rPr>
          <w:sz w:val="23"/>
          <w:szCs w:val="23"/>
        </w:rPr>
        <w:t>B. 8%.</w:t>
      </w:r>
    </w:p>
    <w:p w:rsidR="00CB5B19" w:rsidRDefault="00047DCF">
      <w:pPr>
        <w:rPr>
          <w:sz w:val="23"/>
          <w:szCs w:val="23"/>
        </w:rPr>
      </w:pPr>
      <w:r>
        <w:rPr>
          <w:sz w:val="23"/>
          <w:szCs w:val="23"/>
        </w:rPr>
        <w:t>C. 9%.</w:t>
      </w:r>
    </w:p>
    <w:p w:rsidR="00CB5B19" w:rsidRDefault="00CB5B19">
      <w:pPr>
        <w:rPr>
          <w:sz w:val="23"/>
          <w:szCs w:val="23"/>
        </w:rPr>
      </w:pPr>
    </w:p>
    <w:p w:rsidR="00CB5B19" w:rsidRDefault="00047DCF">
      <w:pPr>
        <w:rPr>
          <w:sz w:val="23"/>
          <w:szCs w:val="23"/>
        </w:rPr>
      </w:pPr>
      <w:r>
        <w:rPr>
          <w:rFonts w:hint="eastAsia"/>
          <w:bCs/>
          <w:sz w:val="23"/>
          <w:szCs w:val="23"/>
        </w:rPr>
        <w:t xml:space="preserve">Answer: </w:t>
      </w:r>
      <w:r>
        <w:rPr>
          <w:bCs/>
          <w:sz w:val="23"/>
          <w:szCs w:val="23"/>
        </w:rPr>
        <w:t xml:space="preserve">A </w:t>
      </w:r>
    </w:p>
    <w:p w:rsidR="00CB5B19" w:rsidRDefault="00047DCF">
      <w:pPr>
        <w:rPr>
          <w:sz w:val="23"/>
          <w:szCs w:val="23"/>
        </w:rPr>
      </w:pPr>
      <w:r>
        <w:rPr>
          <w:sz w:val="23"/>
          <w:szCs w:val="23"/>
        </w:rPr>
        <w:t xml:space="preserve">Management Fee: C$100.0 × 2.0% = </w:t>
      </w:r>
      <w:r>
        <w:rPr>
          <w:sz w:val="23"/>
          <w:szCs w:val="23"/>
        </w:rPr>
        <w:t>C$2.0 million</w:t>
      </w:r>
      <w:r>
        <w:rPr>
          <w:sz w:val="23"/>
          <w:szCs w:val="23"/>
        </w:rPr>
        <w:br/>
        <w:t>Gross value at end of year (given) = C$112.0 million</w:t>
      </w:r>
      <w:r>
        <w:rPr>
          <w:sz w:val="23"/>
          <w:szCs w:val="23"/>
        </w:rPr>
        <w:br/>
        <w:t>Incentive fee = [(C$112.0 − C$100.0 − C$2.0 − (C$100.0 × 10.0%)] × 20% = C$0</w:t>
      </w:r>
      <w:r>
        <w:rPr>
          <w:sz w:val="23"/>
          <w:szCs w:val="23"/>
        </w:rPr>
        <w:br/>
        <w:t>Total fee = C$2.0 million</w:t>
      </w:r>
      <w:r>
        <w:rPr>
          <w:sz w:val="23"/>
          <w:szCs w:val="23"/>
        </w:rPr>
        <w:br/>
        <w:t>Net of fee: C$112.0 − C$2.0 = C$110.0 million</w:t>
      </w:r>
      <w:r>
        <w:rPr>
          <w:sz w:val="23"/>
          <w:szCs w:val="23"/>
        </w:rPr>
        <w:br/>
        <w:t>Net return = (C$110.0 / C$100.0) − 1 =10</w:t>
      </w:r>
      <w:r>
        <w:rPr>
          <w:sz w:val="23"/>
          <w:szCs w:val="23"/>
        </w:rPr>
        <w:t>.0%</w:t>
      </w:r>
    </w:p>
    <w:p w:rsidR="00CB5B19" w:rsidRDefault="00CB5B19">
      <w:pPr>
        <w:rPr>
          <w:sz w:val="23"/>
          <w:szCs w:val="23"/>
        </w:rPr>
      </w:pPr>
    </w:p>
    <w:p w:rsidR="00CB5B19" w:rsidRDefault="00CB5B19">
      <w:pPr>
        <w:rPr>
          <w:sz w:val="23"/>
          <w:szCs w:val="23"/>
        </w:rPr>
      </w:pPr>
    </w:p>
    <w:p w:rsidR="00CB5B19" w:rsidRDefault="00047DCF">
      <w:pPr>
        <w:rPr>
          <w:sz w:val="23"/>
          <w:szCs w:val="23"/>
        </w:rPr>
      </w:pPr>
      <w:r>
        <w:rPr>
          <w:sz w:val="23"/>
          <w:szCs w:val="23"/>
        </w:rPr>
        <w:t xml:space="preserve">10. A hedge fund started with an initial investment of €75 million. The end-of-year value after fees for Year 1 was €70 million. For Year 2, the end-of-year value before fees is €90 million. The fund has a 2 and 20 fee structure. Management fees are </w:t>
      </w:r>
      <w:r>
        <w:rPr>
          <w:sz w:val="23"/>
          <w:szCs w:val="23"/>
        </w:rPr>
        <w:t xml:space="preserve">paid independently of incentive fees and are calculated on end-of-year values. Incentive fees are calculated using a </w:t>
      </w:r>
      <w:proofErr w:type="gramStart"/>
      <w:r>
        <w:rPr>
          <w:sz w:val="23"/>
          <w:szCs w:val="23"/>
        </w:rPr>
        <w:t>high water</w:t>
      </w:r>
      <w:proofErr w:type="gramEnd"/>
      <w:r>
        <w:rPr>
          <w:sz w:val="23"/>
          <w:szCs w:val="23"/>
        </w:rPr>
        <w:t xml:space="preserve"> mark and a soft hurdle rate of 2%. Total fees paid for Year 2 are: </w:t>
      </w:r>
    </w:p>
    <w:p w:rsidR="00CB5B19" w:rsidRDefault="00047DCF">
      <w:pPr>
        <w:rPr>
          <w:sz w:val="23"/>
          <w:szCs w:val="23"/>
        </w:rPr>
      </w:pPr>
      <w:r>
        <w:rPr>
          <w:sz w:val="23"/>
          <w:szCs w:val="23"/>
        </w:rPr>
        <w:t xml:space="preserve">A. €4.4 million. </w:t>
      </w:r>
    </w:p>
    <w:p w:rsidR="00CB5B19" w:rsidRDefault="00047DCF">
      <w:pPr>
        <w:rPr>
          <w:sz w:val="23"/>
          <w:szCs w:val="23"/>
        </w:rPr>
      </w:pPr>
      <w:r>
        <w:rPr>
          <w:sz w:val="23"/>
          <w:szCs w:val="23"/>
        </w:rPr>
        <w:t xml:space="preserve">B. €5.8 million. </w:t>
      </w:r>
    </w:p>
    <w:p w:rsidR="00CB5B19" w:rsidRDefault="00047DCF">
      <w:pPr>
        <w:rPr>
          <w:sz w:val="23"/>
          <w:szCs w:val="23"/>
        </w:rPr>
      </w:pPr>
      <w:r>
        <w:rPr>
          <w:sz w:val="23"/>
          <w:szCs w:val="23"/>
        </w:rPr>
        <w:t>C. €4.8 million.</w:t>
      </w:r>
    </w:p>
    <w:p w:rsidR="00CB5B19" w:rsidRDefault="00CB5B19">
      <w:pPr>
        <w:rPr>
          <w:sz w:val="23"/>
          <w:szCs w:val="23"/>
        </w:rPr>
      </w:pPr>
    </w:p>
    <w:p w:rsidR="00CB5B19" w:rsidRDefault="00047DCF">
      <w:pPr>
        <w:rPr>
          <w:sz w:val="23"/>
          <w:szCs w:val="23"/>
        </w:rPr>
      </w:pPr>
      <w:r>
        <w:rPr>
          <w:rFonts w:hint="eastAsia"/>
          <w:bCs/>
          <w:sz w:val="23"/>
          <w:szCs w:val="23"/>
        </w:rPr>
        <w:t>Answer</w:t>
      </w:r>
      <w:r>
        <w:rPr>
          <w:rFonts w:hint="eastAsia"/>
          <w:bCs/>
          <w:sz w:val="23"/>
          <w:szCs w:val="23"/>
        </w:rPr>
        <w:t xml:space="preserve">: </w:t>
      </w:r>
      <w:r>
        <w:rPr>
          <w:bCs/>
          <w:sz w:val="23"/>
          <w:szCs w:val="23"/>
        </w:rPr>
        <w:t xml:space="preserve">C </w:t>
      </w:r>
    </w:p>
    <w:p w:rsidR="00CB5B19" w:rsidRDefault="00047DCF">
      <w:pPr>
        <w:rPr>
          <w:sz w:val="23"/>
          <w:szCs w:val="23"/>
        </w:rPr>
      </w:pPr>
      <w:r>
        <w:rPr>
          <w:sz w:val="23"/>
          <w:szCs w:val="23"/>
        </w:rPr>
        <w:t>Management fee = €90 million* 0.02 = €1.8 million.</w:t>
      </w:r>
      <w:r>
        <w:rPr>
          <w:sz w:val="23"/>
          <w:szCs w:val="23"/>
        </w:rPr>
        <w:br/>
        <w:t>Gross return = (€90/€75) − 1 = 20.0%. The soft hurdle rate was exceeded.</w:t>
      </w:r>
      <w:r>
        <w:rPr>
          <w:sz w:val="23"/>
          <w:szCs w:val="23"/>
        </w:rPr>
        <w:br/>
        <w:t xml:space="preserve">Because of the </w:t>
      </w:r>
      <w:proofErr w:type="gramStart"/>
      <w:r>
        <w:rPr>
          <w:sz w:val="23"/>
          <w:szCs w:val="23"/>
        </w:rPr>
        <w:t>high water</w:t>
      </w:r>
      <w:proofErr w:type="gramEnd"/>
      <w:r>
        <w:rPr>
          <w:sz w:val="23"/>
          <w:szCs w:val="23"/>
        </w:rPr>
        <w:t xml:space="preserve"> mark, incentive fees are paid only on the increase in value above the previous high value of €75 mill</w:t>
      </w:r>
      <w:r>
        <w:rPr>
          <w:sz w:val="23"/>
          <w:szCs w:val="23"/>
        </w:rPr>
        <w:t>ion.</w:t>
      </w:r>
      <w:r>
        <w:rPr>
          <w:sz w:val="23"/>
          <w:szCs w:val="23"/>
        </w:rPr>
        <w:br/>
        <w:t>Incentive fee = (€90 million − €75 million) * 0.20 = €3.0 million.</w:t>
      </w:r>
      <w:r>
        <w:rPr>
          <w:sz w:val="23"/>
          <w:szCs w:val="23"/>
        </w:rPr>
        <w:br/>
        <w:t>Total fee: €1.8 million + €3.0 million = €4.8 million.</w:t>
      </w:r>
    </w:p>
    <w:p w:rsidR="00CB5B19" w:rsidRDefault="003B477F">
      <w:pPr>
        <w:rPr>
          <w:sz w:val="23"/>
          <w:szCs w:val="23"/>
        </w:rPr>
      </w:pPr>
      <w:r>
        <w:rPr>
          <w:noProof/>
          <w:sz w:val="23"/>
          <w:szCs w:val="23"/>
        </w:rPr>
        <w:drawing>
          <wp:anchor distT="0" distB="0" distL="114300" distR="114300" simplePos="0" relativeHeight="251664384" behindDoc="1" locked="0" layoutInCell="1" allowOverlap="1">
            <wp:simplePos x="0" y="0"/>
            <wp:positionH relativeFrom="column">
              <wp:posOffset>-264453</wp:posOffset>
            </wp:positionH>
            <wp:positionV relativeFrom="paragraph">
              <wp:posOffset>145122</wp:posOffset>
            </wp:positionV>
            <wp:extent cx="1490802" cy="1420837"/>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高顿CFA二维码.png"/>
                    <pic:cNvPicPr/>
                  </pic:nvPicPr>
                  <pic:blipFill>
                    <a:blip r:embed="rId9"/>
                    <a:stretch>
                      <a:fillRect/>
                    </a:stretch>
                  </pic:blipFill>
                  <pic:spPr>
                    <a:xfrm>
                      <a:off x="0" y="0"/>
                      <a:ext cx="1490802" cy="1420837"/>
                    </a:xfrm>
                    <a:prstGeom prst="rect">
                      <a:avLst/>
                    </a:prstGeom>
                  </pic:spPr>
                </pic:pic>
              </a:graphicData>
            </a:graphic>
            <wp14:sizeRelH relativeFrom="margin">
              <wp14:pctWidth>0</wp14:pctWidth>
            </wp14:sizeRelH>
            <wp14:sizeRelV relativeFrom="margin">
              <wp14:pctHeight>0</wp14:pctHeight>
            </wp14:sizeRelV>
          </wp:anchor>
        </w:drawing>
      </w:r>
    </w:p>
    <w:sectPr w:rsidR="00CB5B19">
      <w:headerReference w:type="default" r:id="rId11"/>
      <w:footerReference w:type="default" r:id="rId12"/>
      <w:pgSz w:w="11906" w:h="16838"/>
      <w:pgMar w:top="1440" w:right="1133" w:bottom="1276" w:left="1134" w:header="851" w:footer="61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DCF" w:rsidRDefault="00047DCF">
      <w:r>
        <w:separator/>
      </w:r>
    </w:p>
  </w:endnote>
  <w:endnote w:type="continuationSeparator" w:id="0">
    <w:p w:rsidR="00047DCF" w:rsidRDefault="0004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B19" w:rsidRDefault="00047DCF">
    <w:pPr>
      <w:pStyle w:val="a5"/>
      <w:pBdr>
        <w:top w:val="single" w:sz="4" w:space="1" w:color="A5A5A5" w:themeColor="background1" w:themeShade="A5"/>
      </w:pBdr>
      <w:wordWrap w:val="0"/>
      <w:jc w:val="right"/>
      <w:rPr>
        <w:color w:val="7F7F7F" w:themeColor="background1" w:themeShade="7F"/>
      </w:rPr>
    </w:pPr>
    <w:r>
      <w:rPr>
        <w:color w:val="7F7F7F" w:themeColor="background1" w:themeShade="7F"/>
      </w:rPr>
      <w:pict>
        <v:shapetype id="_x0000_t202" coordsize="21600,21600" o:spt="202" path="m,l,21600r21600,l21600,xe">
          <v:stroke joinstyle="miter"/>
          <v:path gradientshapeok="t" o:connecttype="rect"/>
        </v:shapetype>
        <v:shape id="_x0000_s2064" type="#_x0000_t202" style="position:absolute;left:0;text-align:left;margin-left:433.15pt;margin-top:-16.65pt;width:41.3pt;height:18.25pt;z-index:251697152;mso-width-relative:page;mso-height-relative:page" filled="f" stroked="f">
          <v:textbox inset=",0,,0">
            <w:txbxContent>
              <w:p w:rsidR="00CB5B19" w:rsidRDefault="00047DCF">
                <w:pPr>
                  <w:jc w:val="center"/>
                  <w:rPr>
                    <w:color w:val="4F81BD" w:themeColor="accent1"/>
                  </w:rPr>
                </w:pPr>
                <w:r>
                  <w:rPr>
                    <w:rFonts w:hint="eastAsia"/>
                  </w:rPr>
                  <w:t>-</w:t>
                </w:r>
                <w:r>
                  <w:fldChar w:fldCharType="begin"/>
                </w:r>
                <w:r>
                  <w:instrText xml:space="preserve"> PAGE   \* MERGEFORMAT </w:instrText>
                </w:r>
                <w:r>
                  <w:fldChar w:fldCharType="separate"/>
                </w:r>
                <w:r w:rsidR="003B477F" w:rsidRPr="003B477F">
                  <w:rPr>
                    <w:noProof/>
                    <w:lang w:val="zh-CN"/>
                  </w:rPr>
                  <w:t>3</w:t>
                </w:r>
                <w:r>
                  <w:rPr>
                    <w:lang w:val="zh-CN"/>
                  </w:rPr>
                  <w:fldChar w:fldCharType="end"/>
                </w:r>
                <w:r>
                  <w:rPr>
                    <w:rFonts w:hint="eastAsia"/>
                  </w:rPr>
                  <w:t>-</w:t>
                </w:r>
              </w:p>
            </w:txbxContent>
          </v:textbox>
        </v:shape>
      </w:pict>
    </w:r>
    <w:sdt>
      <w:sdtPr>
        <w:alias w:val="公司"/>
        <w:id w:val="76161118"/>
        <w:placeholder>
          <w:docPart w:val="A0F7A561D771482C9B76A384459B5920"/>
        </w:placeholder>
        <w:dataBinding w:prefixMappings="xmlns:ns0='http://schemas.openxmlformats.org/officeDocument/2006/extended-properties'" w:xpath="/ns0:Properties[1]/ns0:Company[1]" w:storeItemID="{6668398D-A668-4E3E-A5EB-62B293D839F1}"/>
        <w:text/>
      </w:sdtPr>
      <w:sdtEndPr/>
      <w:sdtContent>
        <w:r>
          <w:rPr>
            <w:rFonts w:hint="eastAsia"/>
          </w:rPr>
          <w:t>学服：</w:t>
        </w:r>
        <w:r>
          <w:rPr>
            <w:rFonts w:hint="eastAsia"/>
          </w:rPr>
          <w:t xml:space="preserve">021-51210513  </w:t>
        </w:r>
        <w:r>
          <w:rPr>
            <w:rFonts w:hint="eastAsia"/>
          </w:rPr>
          <w:t>咨询：</w:t>
        </w:r>
        <w:r>
          <w:rPr>
            <w:rFonts w:hint="eastAsia"/>
          </w:rPr>
          <w:t xml:space="preserve">400-600-8011  </w:t>
        </w:r>
        <w:r>
          <w:rPr>
            <w:rFonts w:hint="eastAsia"/>
          </w:rPr>
          <w:t>邮箱：</w:t>
        </w:r>
        <w:r>
          <w:rPr>
            <w:rFonts w:hint="eastAsia"/>
          </w:rPr>
          <w:t xml:space="preserve">cfa@gaodun.cn  </w:t>
        </w:r>
        <w:r>
          <w:rPr>
            <w:rFonts w:hint="eastAsia"/>
          </w:rPr>
          <w:t>网站：</w:t>
        </w:r>
        <w:r>
          <w:rPr>
            <w:rFonts w:hint="eastAsia"/>
          </w:rPr>
          <w:t>cfa.gaodun.cn</w:t>
        </w:r>
      </w:sdtContent>
    </w:sdt>
    <w:r>
      <w:rPr>
        <w:color w:val="7F7F7F" w:themeColor="background1" w:themeShade="7F"/>
        <w:lang w:val="zh-CN"/>
      </w:rPr>
      <w:t>|</w:t>
    </w:r>
    <w:sdt>
      <w:sdtPr>
        <w:rPr>
          <w:b/>
        </w:rPr>
        <w:alias w:val="地址"/>
        <w:id w:val="76161122"/>
        <w:placeholder>
          <w:docPart w:val="1E11AA381CAA41E7AE1E8A726AB6049E"/>
        </w:placeholder>
        <w:dataBinding w:prefixMappings="xmlns:ns0='http://schemas.microsoft.com/office/2006/coverPageProps'" w:xpath="/ns0:CoverPageProperties[1]/ns0:CompanyAddress[1]" w:storeItemID="{55AF091B-3C7A-41E3-B477-F2FDAA23CFDA}"/>
        <w:text w:multiLine="1"/>
      </w:sdtPr>
      <w:sdtEndPr/>
      <w:sdtContent>
        <w:r>
          <w:rPr>
            <w:rFonts w:hint="eastAsia"/>
            <w:b/>
          </w:rPr>
          <w:t>高顿财经</w:t>
        </w:r>
        <w:r>
          <w:rPr>
            <w:rFonts w:hint="eastAsia"/>
            <w:b/>
          </w:rPr>
          <w:t xml:space="preserve">  </w:t>
        </w:r>
      </w:sdtContent>
    </w:sdt>
  </w:p>
  <w:p w:rsidR="00CB5B19" w:rsidRDefault="00CB5B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DCF" w:rsidRDefault="00047DCF">
      <w:r>
        <w:separator/>
      </w:r>
    </w:p>
  </w:footnote>
  <w:footnote w:type="continuationSeparator" w:id="0">
    <w:p w:rsidR="00047DCF" w:rsidRDefault="00047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B19" w:rsidRDefault="00047DCF">
    <w:pPr>
      <w:pStyle w:val="a7"/>
    </w:pPr>
    <w:r>
      <w:rPr>
        <w:noProof/>
      </w:rPr>
      <w:drawing>
        <wp:anchor distT="0" distB="0" distL="114300" distR="114300" simplePos="0" relativeHeight="251700224" behindDoc="0" locked="0" layoutInCell="1" allowOverlap="1">
          <wp:simplePos x="0" y="0"/>
          <wp:positionH relativeFrom="column">
            <wp:posOffset>-24765</wp:posOffset>
          </wp:positionH>
          <wp:positionV relativeFrom="paragraph">
            <wp:posOffset>-273050</wp:posOffset>
          </wp:positionV>
          <wp:extent cx="1256665" cy="466725"/>
          <wp:effectExtent l="0" t="0" r="635" b="9525"/>
          <wp:wrapSquare wrapText="bothSides"/>
          <wp:docPr id="3"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
                  <pic:cNvPicPr>
                    <a:picLocks noChangeAspect="1"/>
                  </pic:cNvPicPr>
                </pic:nvPicPr>
                <pic:blipFill>
                  <a:blip r:embed="rId1"/>
                  <a:srcRect r="62617"/>
                  <a:stretch>
                    <a:fillRect/>
                  </a:stretch>
                </pic:blipFill>
                <pic:spPr>
                  <a:xfrm>
                    <a:off x="0" y="0"/>
                    <a:ext cx="1256665" cy="466725"/>
                  </a:xfrm>
                  <a:prstGeom prst="rect">
                    <a:avLst/>
                  </a:prstGeom>
                  <a:noFill/>
                  <a:ln w="9525">
                    <a:noFill/>
                  </a:ln>
                </pic:spPr>
              </pic:pic>
            </a:graphicData>
          </a:graphic>
        </wp:anchor>
      </w:drawing>
    </w:r>
    <w:r>
      <w:pict>
        <v:shapetype id="_x0000_t202" coordsize="21600,21600" o:spt="202" path="m,l,21600r21600,l21600,xe">
          <v:stroke joinstyle="miter"/>
          <v:path gradientshapeok="t" o:connecttype="rect"/>
        </v:shapetype>
        <v:shape id="_x0000_s2065" type="#_x0000_t202" style="position:absolute;left:0;text-align:left;margin-left:353.65pt;margin-top:-19.15pt;width:162.9pt;height:40.5pt;z-index:251698176;mso-position-horizontal-relative:text;mso-position-vertical-relative:text;mso-width-relative:page;mso-height-relative:page" filled="f" stroked="f">
          <v:textbox>
            <w:txbxContent>
              <w:p w:rsidR="00CB5B19" w:rsidRDefault="00047DCF">
                <w:pPr>
                  <w:jc w:val="center"/>
                  <w:rPr>
                    <w:rFonts w:ascii="黑体" w:eastAsia="黑体"/>
                    <w:sz w:val="24"/>
                    <w:szCs w:val="24"/>
                  </w:rPr>
                </w:pPr>
                <w:r>
                  <w:rPr>
                    <w:rFonts w:ascii="黑体" w:eastAsia="黑体" w:hint="eastAsia"/>
                    <w:sz w:val="24"/>
                    <w:szCs w:val="24"/>
                  </w:rPr>
                  <w:t>财经学习，只</w:t>
                </w:r>
                <w:proofErr w:type="gramStart"/>
                <w:r>
                  <w:rPr>
                    <w:rFonts w:ascii="黑体" w:eastAsia="黑体" w:hint="eastAsia"/>
                    <w:sz w:val="24"/>
                    <w:szCs w:val="24"/>
                  </w:rPr>
                  <w:t>在高顿</w:t>
                </w:r>
                <w:proofErr w:type="gramEnd"/>
                <w:r>
                  <w:rPr>
                    <w:rFonts w:ascii="黑体" w:eastAsia="黑体"/>
                    <w:sz w:val="24"/>
                    <w:szCs w:val="24"/>
                  </w:rPr>
                  <w:t>http://</w:t>
                </w:r>
                <w:r>
                  <w:rPr>
                    <w:rFonts w:ascii="黑体" w:eastAsia="黑体" w:hint="eastAsia"/>
                    <w:sz w:val="24"/>
                    <w:szCs w:val="24"/>
                  </w:rPr>
                  <w:t>finance</w:t>
                </w:r>
                <w:r>
                  <w:rPr>
                    <w:rFonts w:ascii="黑体" w:eastAsia="黑体" w:hint="eastAsia"/>
                    <w:sz w:val="24"/>
                    <w:szCs w:val="24"/>
                  </w:rPr>
                  <w:t>.</w:t>
                </w:r>
                <w:r>
                  <w:rPr>
                    <w:rFonts w:ascii="黑体" w:eastAsia="黑体"/>
                    <w:sz w:val="24"/>
                    <w:szCs w:val="24"/>
                  </w:rPr>
                  <w:t>gaodun.cn</w:t>
                </w:r>
              </w:p>
              <w:p w:rsidR="00CB5B19" w:rsidRDefault="00CB5B19">
                <w:pPr>
                  <w:rPr>
                    <w:szCs w:val="24"/>
                  </w:rPr>
                </w:pPr>
              </w:p>
            </w:txbxContent>
          </v:textbox>
        </v:shape>
      </w:pict>
    </w:r>
  </w:p>
  <w:p w:rsidR="00CB5B19" w:rsidRDefault="00CB5B19">
    <w:pPr>
      <w:pStyle w:val="a7"/>
    </w:pPr>
  </w:p>
  <w:p w:rsidR="00CB5B19" w:rsidRDefault="00047DCF">
    <w:pPr>
      <w:pStyle w:val="a7"/>
      <w:tabs>
        <w:tab w:val="left" w:pos="912"/>
      </w:tabs>
      <w:jc w:val="left"/>
    </w:pPr>
    <w:r>
      <w:rPr>
        <w:rFonts w:hint="eastAsia"/>
      </w:rPr>
      <w:tab/>
    </w:r>
    <w:r>
      <w:rPr>
        <w:rFonts w:hint="eastAsia"/>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0F7E"/>
    <w:rsid w:val="000213D0"/>
    <w:rsid w:val="000262EB"/>
    <w:rsid w:val="00047DCF"/>
    <w:rsid w:val="00080635"/>
    <w:rsid w:val="000A1E27"/>
    <w:rsid w:val="000E3572"/>
    <w:rsid w:val="001009FA"/>
    <w:rsid w:val="0010549D"/>
    <w:rsid w:val="001155AF"/>
    <w:rsid w:val="001162D8"/>
    <w:rsid w:val="0012627B"/>
    <w:rsid w:val="001648F3"/>
    <w:rsid w:val="00173BCA"/>
    <w:rsid w:val="0018274C"/>
    <w:rsid w:val="001E1AAE"/>
    <w:rsid w:val="001E36E1"/>
    <w:rsid w:val="00235764"/>
    <w:rsid w:val="00295F0F"/>
    <w:rsid w:val="002A53CD"/>
    <w:rsid w:val="002B3BA1"/>
    <w:rsid w:val="002C3314"/>
    <w:rsid w:val="002C4D66"/>
    <w:rsid w:val="002C64E8"/>
    <w:rsid w:val="00371114"/>
    <w:rsid w:val="00394AB3"/>
    <w:rsid w:val="003B477F"/>
    <w:rsid w:val="003C6ED8"/>
    <w:rsid w:val="0041282B"/>
    <w:rsid w:val="00440193"/>
    <w:rsid w:val="00481277"/>
    <w:rsid w:val="00491A3A"/>
    <w:rsid w:val="00494FE9"/>
    <w:rsid w:val="00496BE6"/>
    <w:rsid w:val="005074E6"/>
    <w:rsid w:val="00522601"/>
    <w:rsid w:val="00532306"/>
    <w:rsid w:val="0055699D"/>
    <w:rsid w:val="00564BC0"/>
    <w:rsid w:val="00573CA2"/>
    <w:rsid w:val="00623A57"/>
    <w:rsid w:val="00636ECD"/>
    <w:rsid w:val="00662349"/>
    <w:rsid w:val="0069291D"/>
    <w:rsid w:val="006B5FD4"/>
    <w:rsid w:val="006E2BF6"/>
    <w:rsid w:val="006E30B8"/>
    <w:rsid w:val="006F1FC9"/>
    <w:rsid w:val="00707B07"/>
    <w:rsid w:val="00721C28"/>
    <w:rsid w:val="007372D5"/>
    <w:rsid w:val="00783579"/>
    <w:rsid w:val="007A3678"/>
    <w:rsid w:val="007F7C48"/>
    <w:rsid w:val="00821DE0"/>
    <w:rsid w:val="00830ACD"/>
    <w:rsid w:val="008404C3"/>
    <w:rsid w:val="00847075"/>
    <w:rsid w:val="00857BB1"/>
    <w:rsid w:val="008B2240"/>
    <w:rsid w:val="008B5395"/>
    <w:rsid w:val="008B71BC"/>
    <w:rsid w:val="00941CE6"/>
    <w:rsid w:val="00944F68"/>
    <w:rsid w:val="00955E03"/>
    <w:rsid w:val="00972EF0"/>
    <w:rsid w:val="009A29A1"/>
    <w:rsid w:val="00A009FF"/>
    <w:rsid w:val="00A14D29"/>
    <w:rsid w:val="00A2731A"/>
    <w:rsid w:val="00A46DD5"/>
    <w:rsid w:val="00A53659"/>
    <w:rsid w:val="00A74FA3"/>
    <w:rsid w:val="00AA0EF9"/>
    <w:rsid w:val="00AA5F61"/>
    <w:rsid w:val="00AB7BF8"/>
    <w:rsid w:val="00AC52D6"/>
    <w:rsid w:val="00AD0F7E"/>
    <w:rsid w:val="00AD15A5"/>
    <w:rsid w:val="00AF7ADC"/>
    <w:rsid w:val="00B17944"/>
    <w:rsid w:val="00B23221"/>
    <w:rsid w:val="00B36C5E"/>
    <w:rsid w:val="00B55718"/>
    <w:rsid w:val="00B86451"/>
    <w:rsid w:val="00C13261"/>
    <w:rsid w:val="00C62612"/>
    <w:rsid w:val="00C8087F"/>
    <w:rsid w:val="00CB4305"/>
    <w:rsid w:val="00CB5B19"/>
    <w:rsid w:val="00CC1229"/>
    <w:rsid w:val="00CC62A7"/>
    <w:rsid w:val="00CD5AD7"/>
    <w:rsid w:val="00CE318F"/>
    <w:rsid w:val="00D02B2A"/>
    <w:rsid w:val="00D64CF6"/>
    <w:rsid w:val="00D672D8"/>
    <w:rsid w:val="00D73476"/>
    <w:rsid w:val="00D857DA"/>
    <w:rsid w:val="00D95F27"/>
    <w:rsid w:val="00DC0648"/>
    <w:rsid w:val="00DC48E9"/>
    <w:rsid w:val="00DC4958"/>
    <w:rsid w:val="00DD23B9"/>
    <w:rsid w:val="00E05F53"/>
    <w:rsid w:val="00E82432"/>
    <w:rsid w:val="00E83613"/>
    <w:rsid w:val="00E93903"/>
    <w:rsid w:val="00EA27EB"/>
    <w:rsid w:val="00EB48A8"/>
    <w:rsid w:val="00EE7465"/>
    <w:rsid w:val="00F01A14"/>
    <w:rsid w:val="00F1088A"/>
    <w:rsid w:val="00F17F9C"/>
    <w:rsid w:val="00F44116"/>
    <w:rsid w:val="00F52392"/>
    <w:rsid w:val="00F95F69"/>
    <w:rsid w:val="00F97273"/>
    <w:rsid w:val="00FC1727"/>
    <w:rsid w:val="00FD55EC"/>
    <w:rsid w:val="00FF3E73"/>
    <w:rsid w:val="07755B35"/>
    <w:rsid w:val="1B9F7F85"/>
    <w:rsid w:val="2F495643"/>
    <w:rsid w:val="60E663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5:docId w15:val="{15DBA0E5-F38F-455E-B8F3-817628D7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 w:type="paragraph" w:customStyle="1" w:styleId="1">
    <w:name w:val="无间隔1"/>
    <w:link w:val="Char"/>
    <w:uiPriority w:val="1"/>
    <w:qFormat/>
    <w:rPr>
      <w:sz w:val="22"/>
      <w:szCs w:val="22"/>
    </w:rPr>
  </w:style>
  <w:style w:type="character" w:customStyle="1" w:styleId="Char">
    <w:name w:val="无间隔 Char"/>
    <w:basedOn w:val="a0"/>
    <w:link w:val="1"/>
    <w:uiPriority w:val="1"/>
    <w:qFormat/>
    <w:rPr>
      <w:kern w:val="0"/>
      <w:sz w:val="22"/>
    </w:rPr>
  </w:style>
  <w:style w:type="paragraph" w:customStyle="1" w:styleId="10">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F7A561D771482C9B76A384459B5920"/>
        <w:category>
          <w:name w:val="常规"/>
          <w:gallery w:val="placeholder"/>
        </w:category>
        <w:types>
          <w:type w:val="bbPlcHdr"/>
        </w:types>
        <w:behaviors>
          <w:behavior w:val="content"/>
        </w:behaviors>
        <w:guid w:val="{F03A6B21-3094-4544-9725-81C794BE795E}"/>
      </w:docPartPr>
      <w:docPartBody>
        <w:p w:rsidR="006B6B3D" w:rsidRDefault="00B6600A">
          <w:pPr>
            <w:pStyle w:val="A0F7A561D771482C9B76A384459B5920"/>
          </w:pPr>
          <w:r>
            <w:rPr>
              <w:color w:val="7F7F7F" w:themeColor="background1" w:themeShade="7F"/>
              <w:lang w:val="zh-CN"/>
            </w:rPr>
            <w:t>[</w:t>
          </w:r>
          <w:r>
            <w:rPr>
              <w:color w:val="7F7F7F" w:themeColor="background1" w:themeShade="7F"/>
              <w:lang w:val="zh-CN"/>
            </w:rPr>
            <w:t>键入公司名称</w:t>
          </w:r>
          <w:r>
            <w:rPr>
              <w:color w:val="7F7F7F" w:themeColor="background1" w:themeShade="7F"/>
              <w:lang w:val="zh-CN"/>
            </w:rPr>
            <w:t>]</w:t>
          </w:r>
        </w:p>
      </w:docPartBody>
    </w:docPart>
    <w:docPart>
      <w:docPartPr>
        <w:name w:val="1E11AA381CAA41E7AE1E8A726AB6049E"/>
        <w:category>
          <w:name w:val="常规"/>
          <w:gallery w:val="placeholder"/>
        </w:category>
        <w:types>
          <w:type w:val="bbPlcHdr"/>
        </w:types>
        <w:behaviors>
          <w:behavior w:val="content"/>
        </w:behaviors>
        <w:guid w:val="{580CC2FD-04ED-4E7B-80CC-54DC307B713A}"/>
      </w:docPartPr>
      <w:docPartBody>
        <w:p w:rsidR="006B6B3D" w:rsidRDefault="00B6600A">
          <w:pPr>
            <w:pStyle w:val="1E11AA381CAA41E7AE1E8A726AB6049E"/>
          </w:pPr>
          <w:r>
            <w:rPr>
              <w:color w:val="7F7F7F" w:themeColor="background1" w:themeShade="7F"/>
              <w:lang w:val="zh-CN"/>
            </w:rPr>
            <w:t>[</w:t>
          </w:r>
          <w:r>
            <w:rPr>
              <w:color w:val="7F7F7F" w:themeColor="background1" w:themeShade="7F"/>
              <w:lang w:val="zh-CN"/>
            </w:rPr>
            <w:t>键入公司地址</w:t>
          </w:r>
          <w:r>
            <w:rPr>
              <w:color w:val="7F7F7F" w:themeColor="background1" w:themeShade="7F"/>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60159"/>
    <w:rsid w:val="00063885"/>
    <w:rsid w:val="0024698F"/>
    <w:rsid w:val="00247749"/>
    <w:rsid w:val="00471152"/>
    <w:rsid w:val="00472ACF"/>
    <w:rsid w:val="00653313"/>
    <w:rsid w:val="006B6B3D"/>
    <w:rsid w:val="00885E28"/>
    <w:rsid w:val="00A33C6A"/>
    <w:rsid w:val="00A42FC0"/>
    <w:rsid w:val="00B01C3F"/>
    <w:rsid w:val="00B6600A"/>
    <w:rsid w:val="00CA03AF"/>
    <w:rsid w:val="00D23D08"/>
    <w:rsid w:val="00D60159"/>
    <w:rsid w:val="00E64DA9"/>
    <w:rsid w:val="00ED3B8F"/>
    <w:rsid w:val="00F41B91"/>
    <w:rsid w:val="00FB6F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6F1C1839E44C66B650A56F8643A3DF">
    <w:name w:val="006F1C1839E44C66B650A56F8643A3DF"/>
    <w:qFormat/>
    <w:pPr>
      <w:widowControl w:val="0"/>
      <w:jc w:val="both"/>
    </w:pPr>
    <w:rPr>
      <w:kern w:val="2"/>
      <w:sz w:val="21"/>
      <w:szCs w:val="22"/>
    </w:rPr>
  </w:style>
  <w:style w:type="paragraph" w:customStyle="1" w:styleId="0D300E8BC8884EBD8A80321A78A0764F">
    <w:name w:val="0D300E8BC8884EBD8A80321A78A0764F"/>
    <w:pPr>
      <w:widowControl w:val="0"/>
      <w:jc w:val="both"/>
    </w:pPr>
    <w:rPr>
      <w:kern w:val="2"/>
      <w:sz w:val="21"/>
      <w:szCs w:val="22"/>
    </w:rPr>
  </w:style>
  <w:style w:type="paragraph" w:customStyle="1" w:styleId="A0F7A561D771482C9B76A384459B5920">
    <w:name w:val="A0F7A561D771482C9B76A384459B5920"/>
    <w:qFormat/>
    <w:pPr>
      <w:widowControl w:val="0"/>
      <w:jc w:val="both"/>
    </w:pPr>
    <w:rPr>
      <w:kern w:val="2"/>
      <w:sz w:val="21"/>
      <w:szCs w:val="22"/>
    </w:rPr>
  </w:style>
  <w:style w:type="paragraph" w:customStyle="1" w:styleId="1E11AA381CAA41E7AE1E8A726AB6049E">
    <w:name w:val="1E11AA381CAA41E7AE1E8A726AB6049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高顿财经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65"/>
    <customShpInfo spid="_x0000_s2064"/>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AEB0DF0-7698-45B1-BE25-2D2A891F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731</Words>
  <Characters>4173</Characters>
  <Application>Microsoft Office Word</Application>
  <DocSecurity>0</DocSecurity>
  <Lines>34</Lines>
  <Paragraphs>9</Paragraphs>
  <ScaleCrop>false</ScaleCrop>
  <Company>学服：021-51210513  咨询：400-600-8011  邮箱：cfa@gaodun.cn  网站：cfa.gaodun.cn</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梁文伯</cp:lastModifiedBy>
  <cp:revision>13</cp:revision>
  <cp:lastPrinted>2018-01-22T03:49:00Z</cp:lastPrinted>
  <dcterms:created xsi:type="dcterms:W3CDTF">2014-07-10T01:56:00Z</dcterms:created>
  <dcterms:modified xsi:type="dcterms:W3CDTF">2018-01-22T03:50:00Z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