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58" w:rsidRDefault="0088623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Fixed Income</w:t>
      </w:r>
    </w:p>
    <w:p w:rsidR="007F7358" w:rsidRDefault="007F7358">
      <w:pPr>
        <w:rPr>
          <w:sz w:val="23"/>
          <w:szCs w:val="23"/>
        </w:rPr>
      </w:pPr>
    </w:p>
    <w:p w:rsidR="007F7358" w:rsidRDefault="008A50F1">
      <w:pPr>
        <w:rPr>
          <w:sz w:val="23"/>
          <w:szCs w:val="23"/>
        </w:rPr>
      </w:pPr>
      <w:r w:rsidRPr="008A50F1">
        <w:rPr>
          <w:sz w:val="23"/>
          <w:szCs w:val="23"/>
        </w:rPr>
        <w:drawing>
          <wp:anchor distT="0" distB="0" distL="114300" distR="114300" simplePos="0" relativeHeight="251646464" behindDoc="0" locked="0" layoutInCell="1" allowOverlap="1" wp14:anchorId="6444BF59" wp14:editId="3C6DAB86">
            <wp:simplePos x="0" y="0"/>
            <wp:positionH relativeFrom="column">
              <wp:posOffset>4431323</wp:posOffset>
            </wp:positionH>
            <wp:positionV relativeFrom="paragraph">
              <wp:posOffset>794824</wp:posOffset>
            </wp:positionV>
            <wp:extent cx="1293495" cy="1233805"/>
            <wp:effectExtent l="0" t="0" r="1905" b="4445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23E">
        <w:rPr>
          <w:rFonts w:hint="eastAsia"/>
          <w:sz w:val="23"/>
          <w:szCs w:val="23"/>
        </w:rPr>
        <w:t>1</w:t>
      </w:r>
      <w:r w:rsidR="0088623E">
        <w:rPr>
          <w:sz w:val="23"/>
          <w:szCs w:val="23"/>
        </w:rPr>
        <w:t>. On January 1st of the year, an investor purchases $100,000 in par value of a new Treasury Inflation Protection Security (TIPS) issue that has a 2.5% coupon rate. The annual rate of inflation over the first six months of the year is 4.0% and the annual ra</w:t>
      </w:r>
      <w:r w:rsidR="0088623E">
        <w:rPr>
          <w:sz w:val="23"/>
          <w:szCs w:val="23"/>
        </w:rPr>
        <w:t xml:space="preserve">te of inflation for the second six months of the year is 3.0%. The amount of coupon interest paid to the investor after the second six months of the year is </w:t>
      </w:r>
      <w:r w:rsidR="0088623E">
        <w:rPr>
          <w:i/>
          <w:sz w:val="23"/>
          <w:szCs w:val="23"/>
        </w:rPr>
        <w:t>closest</w:t>
      </w:r>
      <w:r w:rsidR="0088623E">
        <w:rPr>
          <w:sz w:val="23"/>
          <w:szCs w:val="23"/>
        </w:rPr>
        <w:t xml:space="preserve"> to: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A. $1,275.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B. $1,294.</w:t>
      </w:r>
      <w:r w:rsidR="008A50F1" w:rsidRPr="008A50F1">
        <w:rPr>
          <w:noProof/>
        </w:rPr>
        <w:t xml:space="preserve">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C. $1,339.</w:t>
      </w: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</w:t>
      </w:r>
      <w:r>
        <w:rPr>
          <w:rFonts w:hint="eastAsia"/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B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B is correct because the inflation-adjusted</w:t>
      </w:r>
      <w:r>
        <w:rPr>
          <w:sz w:val="23"/>
          <w:szCs w:val="23"/>
        </w:rPr>
        <w:t xml:space="preserve"> principal after the second </w:t>
      </w:r>
      <w:proofErr w:type="gramStart"/>
      <w:r>
        <w:rPr>
          <w:sz w:val="23"/>
          <w:szCs w:val="23"/>
        </w:rPr>
        <w:t>six month</w:t>
      </w:r>
      <w:proofErr w:type="gramEnd"/>
      <w:r>
        <w:rPr>
          <w:sz w:val="23"/>
          <w:szCs w:val="23"/>
        </w:rPr>
        <w:t xml:space="preserve"> period is $100,000 × (1.02) × (1.015) = $103,530 and $103,530 × (2.5%/2) = $1,294.</w:t>
      </w:r>
    </w:p>
    <w:p w:rsidR="007F7358" w:rsidRDefault="007F7358">
      <w:pPr>
        <w:rPr>
          <w:sz w:val="23"/>
          <w:szCs w:val="23"/>
        </w:rPr>
      </w:pP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. When interest rates fall, the price of a callable bond will: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A. fall less than an option-free bond.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B. rise less than an option-fr</w:t>
      </w:r>
      <w:r>
        <w:rPr>
          <w:sz w:val="23"/>
          <w:szCs w:val="23"/>
        </w:rPr>
        <w:t>ee bond.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C. rise more than an option-free bond.</w:t>
      </w: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Answer: B</w:t>
      </w:r>
    </w:p>
    <w:p w:rsidR="007F7358" w:rsidRDefault="0088623E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B is correct because when interest rates fall, the price of the embedded call option increases. Since, price of a callable bond = price of option-free bond – price of embedded call option, the pric</w:t>
      </w:r>
      <w:r>
        <w:rPr>
          <w:bCs/>
          <w:sz w:val="23"/>
          <w:szCs w:val="23"/>
        </w:rPr>
        <w:t>e of the callable bond will not increase as much as an option-free bond since the price of the call option is increasing. As interest rates fall, the bond is more likely to be called, limiting the upside price increase potential.</w:t>
      </w:r>
    </w:p>
    <w:p w:rsidR="007F7358" w:rsidRDefault="007F7358">
      <w:pPr>
        <w:rPr>
          <w:sz w:val="23"/>
          <w:szCs w:val="23"/>
        </w:rPr>
      </w:pPr>
    </w:p>
    <w:p w:rsidR="007F7358" w:rsidRDefault="007F7358">
      <w:pPr>
        <w:rPr>
          <w:b/>
          <w:bCs/>
          <w:sz w:val="23"/>
          <w:szCs w:val="23"/>
        </w:rPr>
      </w:pPr>
    </w:p>
    <w:p w:rsidR="007F7358" w:rsidRDefault="008A50F1">
      <w:pPr>
        <w:rPr>
          <w:sz w:val="23"/>
          <w:szCs w:val="23"/>
        </w:rPr>
      </w:pPr>
      <w:r w:rsidRPr="008A50F1">
        <w:rPr>
          <w:sz w:val="23"/>
          <w:szCs w:val="23"/>
        </w:rPr>
        <w:drawing>
          <wp:anchor distT="0" distB="0" distL="114300" distR="114300" simplePos="0" relativeHeight="251653632" behindDoc="0" locked="0" layoutInCell="1" allowOverlap="1" wp14:anchorId="56BD04E3" wp14:editId="2C714D5C">
            <wp:simplePos x="0" y="0"/>
            <wp:positionH relativeFrom="column">
              <wp:posOffset>4219966</wp:posOffset>
            </wp:positionH>
            <wp:positionV relativeFrom="paragraph">
              <wp:posOffset>242277</wp:posOffset>
            </wp:positionV>
            <wp:extent cx="1217295" cy="1160145"/>
            <wp:effectExtent l="0" t="0" r="1905" b="1905"/>
            <wp:wrapNone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23E">
        <w:rPr>
          <w:rFonts w:hint="eastAsia"/>
          <w:sz w:val="23"/>
          <w:szCs w:val="23"/>
        </w:rPr>
        <w:t>3.</w:t>
      </w:r>
      <w:r w:rsidR="0088623E">
        <w:rPr>
          <w:rFonts w:ascii="Calibri" w:eastAsia="Arial Unicode MS" w:hAnsi="Calibri" w:cs="Arial Unicode MS"/>
          <w:color w:val="000000"/>
          <w:kern w:val="0"/>
          <w:sz w:val="44"/>
          <w:szCs w:val="44"/>
        </w:rPr>
        <w:t xml:space="preserve"> </w:t>
      </w:r>
      <w:r w:rsidR="0088623E">
        <w:rPr>
          <w:sz w:val="23"/>
          <w:szCs w:val="23"/>
        </w:rPr>
        <w:t xml:space="preserve">Compared to a term repurchase agreement, an overnight repurchase agreement is </w:t>
      </w:r>
      <w:r w:rsidR="0088623E">
        <w:rPr>
          <w:i/>
          <w:iCs/>
          <w:sz w:val="23"/>
          <w:szCs w:val="23"/>
        </w:rPr>
        <w:t xml:space="preserve">most likely </w:t>
      </w:r>
      <w:r w:rsidR="0088623E">
        <w:rPr>
          <w:sz w:val="23"/>
          <w:szCs w:val="23"/>
        </w:rPr>
        <w:t>to have a: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A. lower repo rate and higher repo margin.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B. higher repo rate and repo margin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C. lower repo rate and repo margin.</w:t>
      </w: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 = C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Both the repo rate and the </w:t>
      </w:r>
      <w:r>
        <w:rPr>
          <w:sz w:val="23"/>
          <w:szCs w:val="23"/>
        </w:rPr>
        <w:t xml:space="preserve">repo margin tend to be higher for longer repo terms. </w:t>
      </w:r>
      <w:proofErr w:type="gramStart"/>
      <w:r>
        <w:rPr>
          <w:sz w:val="23"/>
          <w:szCs w:val="23"/>
        </w:rPr>
        <w:t>Therefore</w:t>
      </w:r>
      <w:proofErr w:type="gramEnd"/>
      <w:r>
        <w:rPr>
          <w:sz w:val="23"/>
          <w:szCs w:val="23"/>
        </w:rPr>
        <w:t xml:space="preserve"> an overnight repo should have a lower repo rate and a lower repo margin than a term (i.e., longer than overnight) repo.</w:t>
      </w:r>
    </w:p>
    <w:p w:rsidR="007F7358" w:rsidRDefault="007F7358">
      <w:pPr>
        <w:rPr>
          <w:sz w:val="23"/>
          <w:szCs w:val="23"/>
        </w:rPr>
      </w:pP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4</w:t>
      </w:r>
      <w:r>
        <w:rPr>
          <w:sz w:val="23"/>
          <w:szCs w:val="23"/>
        </w:rPr>
        <w:t xml:space="preserve">. An analyst has gathered the following information provided in the </w:t>
      </w:r>
      <w:r>
        <w:rPr>
          <w:sz w:val="23"/>
          <w:szCs w:val="23"/>
        </w:rPr>
        <w:t>table below:  </w:t>
      </w:r>
    </w:p>
    <w:tbl>
      <w:tblPr>
        <w:tblW w:w="12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820"/>
        <w:gridCol w:w="3519"/>
        <w:gridCol w:w="4901"/>
      </w:tblGrid>
      <w:tr w:rsidR="007F7358">
        <w:trPr>
          <w:trHeight w:val="47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Periods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Years 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U.S. </w:t>
            </w:r>
            <w:proofErr w:type="gramStart"/>
            <w:r>
              <w:rPr>
                <w:sz w:val="23"/>
                <w:szCs w:val="23"/>
              </w:rPr>
              <w:t>Treasury  Spot</w:t>
            </w:r>
            <w:proofErr w:type="gramEnd"/>
            <w:r>
              <w:rPr>
                <w:sz w:val="23"/>
                <w:szCs w:val="23"/>
              </w:rPr>
              <w:t xml:space="preserve"> Rate (%) </w:t>
            </w:r>
          </w:p>
        </w:tc>
        <w:tc>
          <w:tcPr>
            <w:tcW w:w="4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Credit Spread (%) </w:t>
            </w:r>
          </w:p>
        </w:tc>
      </w:tr>
      <w:tr w:rsidR="007F7358">
        <w:trPr>
          <w:trHeight w:val="299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1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3.00 </w:t>
            </w:r>
          </w:p>
        </w:tc>
        <w:tc>
          <w:tcPr>
            <w:tcW w:w="4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0.20 </w:t>
            </w:r>
          </w:p>
        </w:tc>
      </w:tr>
      <w:tr w:rsidR="007F7358">
        <w:trPr>
          <w:trHeight w:val="299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3.50 </w:t>
            </w:r>
          </w:p>
        </w:tc>
        <w:tc>
          <w:tcPr>
            <w:tcW w:w="4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0.30 </w:t>
            </w:r>
          </w:p>
        </w:tc>
      </w:tr>
      <w:tr w:rsidR="007F7358">
        <w:trPr>
          <w:trHeight w:val="299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4.00 </w:t>
            </w:r>
          </w:p>
        </w:tc>
        <w:tc>
          <w:tcPr>
            <w:tcW w:w="4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0.40 </w:t>
            </w:r>
          </w:p>
        </w:tc>
      </w:tr>
      <w:tr w:rsidR="007F7358">
        <w:trPr>
          <w:trHeight w:val="299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4.50 </w:t>
            </w:r>
          </w:p>
        </w:tc>
        <w:tc>
          <w:tcPr>
            <w:tcW w:w="4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0.50 </w:t>
            </w:r>
          </w:p>
        </w:tc>
      </w:tr>
      <w:tr w:rsidR="007F7358">
        <w:trPr>
          <w:trHeight w:val="299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5.00 </w:t>
            </w:r>
          </w:p>
        </w:tc>
        <w:tc>
          <w:tcPr>
            <w:tcW w:w="4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0.60 </w:t>
            </w:r>
          </w:p>
        </w:tc>
      </w:tr>
    </w:tbl>
    <w:p w:rsidR="007F7358" w:rsidRDefault="007F7358">
      <w:pPr>
        <w:rPr>
          <w:sz w:val="23"/>
          <w:szCs w:val="23"/>
        </w:rPr>
      </w:pPr>
    </w:p>
    <w:p w:rsidR="007F7358" w:rsidRDefault="008A50F1">
      <w:pPr>
        <w:rPr>
          <w:sz w:val="23"/>
          <w:szCs w:val="23"/>
        </w:rPr>
      </w:pPr>
      <w:r w:rsidRPr="008A50F1">
        <w:rPr>
          <w:sz w:val="23"/>
          <w:szCs w:val="23"/>
        </w:rPr>
        <w:drawing>
          <wp:anchor distT="0" distB="0" distL="114300" distR="114300" simplePos="0" relativeHeight="251658752" behindDoc="0" locked="0" layoutInCell="1" allowOverlap="1" wp14:anchorId="6444BF59" wp14:editId="3C6DAB86">
            <wp:simplePos x="0" y="0"/>
            <wp:positionH relativeFrom="column">
              <wp:posOffset>4977277</wp:posOffset>
            </wp:positionH>
            <wp:positionV relativeFrom="paragraph">
              <wp:posOffset>266554</wp:posOffset>
            </wp:positionV>
            <wp:extent cx="1054344" cy="1050925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344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23E">
        <w:rPr>
          <w:sz w:val="23"/>
          <w:szCs w:val="23"/>
        </w:rPr>
        <w:t xml:space="preserve">Based on the information provided in the table, the current market price of a </w:t>
      </w:r>
      <w:r w:rsidR="0088623E">
        <w:rPr>
          <w:sz w:val="23"/>
          <w:szCs w:val="23"/>
        </w:rPr>
        <w:t>$1,000 par value, option-free, 0 percent coupon corporate bond maturing in 5 years is closest to: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A. $758.70.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B. $781.20.</w:t>
      </w:r>
      <w:r w:rsidR="008A50F1" w:rsidRPr="008A50F1">
        <w:rPr>
          <w:noProof/>
        </w:rPr>
        <w:t xml:space="preserve">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C. $804.44.</w:t>
      </w: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Answer: A </w:t>
      </w:r>
    </w:p>
    <w:p w:rsidR="007F7358" w:rsidRDefault="0088623E">
      <w:pPr>
        <w:rPr>
          <w:b/>
          <w:bCs/>
          <w:sz w:val="23"/>
          <w:szCs w:val="23"/>
        </w:rPr>
      </w:pPr>
      <w:r>
        <w:rPr>
          <w:bCs/>
          <w:sz w:val="23"/>
          <w:szCs w:val="23"/>
        </w:rPr>
        <w:t>The appropriate discount rate is 5.6% = 5% + 0.6%. The semiannual discount rate is 2.8%. The price of the bond</w:t>
      </w:r>
      <w:r>
        <w:rPr>
          <w:bCs/>
          <w:sz w:val="23"/>
          <w:szCs w:val="23"/>
        </w:rPr>
        <w:t xml:space="preserve"> using semiannual discounting is: </w:t>
      </w:r>
      <w:r>
        <w:rPr>
          <w:b/>
          <w:bCs/>
          <w:noProof/>
          <w:sz w:val="23"/>
          <w:szCs w:val="23"/>
        </w:rPr>
        <w:drawing>
          <wp:inline distT="0" distB="0" distL="0" distR="0">
            <wp:extent cx="1343025" cy="495300"/>
            <wp:effectExtent l="0" t="0" r="0" b="0"/>
            <wp:docPr id="15" name="图片 3" descr="e 2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e 2.w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37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58" w:rsidRDefault="007F7358">
      <w:pPr>
        <w:rPr>
          <w:sz w:val="23"/>
          <w:szCs w:val="23"/>
        </w:rPr>
      </w:pP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5</w:t>
      </w:r>
      <w:r>
        <w:rPr>
          <w:sz w:val="23"/>
          <w:szCs w:val="23"/>
        </w:rPr>
        <w:t xml:space="preserve">. The bond-equivalent yield (BEY) spot rates for U.S. Treasury yields are provided below. </w:t>
      </w:r>
    </w:p>
    <w:tbl>
      <w:tblPr>
        <w:tblW w:w="5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4"/>
        <w:gridCol w:w="2251"/>
      </w:tblGrid>
      <w:tr w:rsidR="007F7358">
        <w:trPr>
          <w:trHeight w:val="443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Period 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Years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Spot Rate </w:t>
            </w:r>
          </w:p>
        </w:tc>
      </w:tr>
      <w:tr w:rsidR="007F7358">
        <w:trPr>
          <w:trHeight w:val="452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0.5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1.20% </w:t>
            </w:r>
          </w:p>
        </w:tc>
      </w:tr>
      <w:tr w:rsidR="007F7358">
        <w:trPr>
          <w:trHeight w:val="452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2.10% </w:t>
            </w:r>
          </w:p>
        </w:tc>
      </w:tr>
      <w:tr w:rsidR="007F7358">
        <w:trPr>
          <w:trHeight w:val="452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1.5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2.80% </w:t>
            </w:r>
          </w:p>
        </w:tc>
      </w:tr>
      <w:tr w:rsidR="007F7358">
        <w:trPr>
          <w:trHeight w:val="452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2.0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7F7358" w:rsidRDefault="0088623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3.30% </w:t>
            </w:r>
          </w:p>
        </w:tc>
      </w:tr>
    </w:tbl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On a BEY basis, the 6-month forward rate one year from now is </w:t>
      </w:r>
      <w:r>
        <w:rPr>
          <w:i/>
          <w:iCs/>
          <w:sz w:val="23"/>
          <w:szCs w:val="23"/>
        </w:rPr>
        <w:t>closest</w:t>
      </w:r>
      <w:r>
        <w:rPr>
          <w:sz w:val="23"/>
          <w:szCs w:val="23"/>
        </w:rPr>
        <w:t xml:space="preserve"> to: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A. 2.10%.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B. 3.64%.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C. 4.21%.</w:t>
      </w: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Answer: C </w:t>
      </w:r>
    </w:p>
    <w:p w:rsidR="007F7358" w:rsidRDefault="0088623E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C is correct because, the x-year forward rate y-years from now.</w:t>
      </w:r>
    </w:p>
    <w:p w:rsidR="007F7358" w:rsidRDefault="008A50F1">
      <w:pPr>
        <w:rPr>
          <w:bCs/>
          <w:sz w:val="23"/>
          <w:szCs w:val="23"/>
        </w:rPr>
      </w:pPr>
      <w:r w:rsidRPr="008A50F1">
        <w:rPr>
          <w:sz w:val="23"/>
          <w:szCs w:val="23"/>
        </w:rPr>
        <w:drawing>
          <wp:anchor distT="0" distB="0" distL="114300" distR="114300" simplePos="0" relativeHeight="251662848" behindDoc="0" locked="0" layoutInCell="1" allowOverlap="1" wp14:anchorId="56BD04E3" wp14:editId="2C714D5C">
            <wp:simplePos x="0" y="0"/>
            <wp:positionH relativeFrom="column">
              <wp:posOffset>5370439</wp:posOffset>
            </wp:positionH>
            <wp:positionV relativeFrom="paragraph">
              <wp:posOffset>574821</wp:posOffset>
            </wp:positionV>
            <wp:extent cx="992232" cy="988183"/>
            <wp:effectExtent l="0" t="0" r="0" b="0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232" cy="988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23E">
        <w:rPr>
          <w:bCs/>
          <w:sz w:val="23"/>
          <w:szCs w:val="23"/>
        </w:rPr>
        <w:t xml:space="preserve"> </w:t>
      </w:r>
      <w:r w:rsidR="0088623E">
        <w:rPr>
          <w:bCs/>
          <w:noProof/>
          <w:sz w:val="23"/>
          <w:szCs w:val="23"/>
        </w:rPr>
        <w:drawing>
          <wp:inline distT="0" distB="0" distL="0" distR="0">
            <wp:extent cx="2190750" cy="704850"/>
            <wp:effectExtent l="0" t="0" r="0" b="0"/>
            <wp:docPr id="9" name="图片 1" descr="e 3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e 3.w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65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58" w:rsidRDefault="0088623E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All spot rates are given on a BEY basis and must be divided by 2 in this calculation, or </w:t>
      </w:r>
    </w:p>
    <w:p w:rsidR="007F7358" w:rsidRDefault="0088623E">
      <w:pPr>
        <w:rPr>
          <w:bCs/>
          <w:sz w:val="23"/>
          <w:szCs w:val="23"/>
        </w:rPr>
      </w:pPr>
      <w:r>
        <w:rPr>
          <w:bCs/>
          <w:noProof/>
          <w:sz w:val="23"/>
          <w:szCs w:val="23"/>
        </w:rPr>
        <w:drawing>
          <wp:inline distT="0" distB="0" distL="0" distR="0">
            <wp:extent cx="1885950" cy="571500"/>
            <wp:effectExtent l="19050" t="0" r="0" b="0"/>
            <wp:docPr id="14" name="图片 2" descr="e 4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e 4.wm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63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58" w:rsidRDefault="0088623E">
      <w:pPr>
        <w:rPr>
          <w:sz w:val="23"/>
          <w:szCs w:val="23"/>
        </w:rPr>
      </w:pPr>
      <w:r>
        <w:rPr>
          <w:bCs/>
          <w:sz w:val="23"/>
          <w:szCs w:val="23"/>
        </w:rPr>
        <w:lastRenderedPageBreak/>
        <w:t>On a BEY basis, the forward rate is 0.021036×2=4.21</w:t>
      </w:r>
      <w:r>
        <w:rPr>
          <w:b/>
          <w:bCs/>
          <w:sz w:val="23"/>
          <w:szCs w:val="23"/>
        </w:rPr>
        <w:t>%</w:t>
      </w:r>
    </w:p>
    <w:p w:rsidR="007F7358" w:rsidRDefault="007F7358">
      <w:pPr>
        <w:rPr>
          <w:sz w:val="23"/>
          <w:szCs w:val="23"/>
        </w:rPr>
      </w:pPr>
    </w:p>
    <w:p w:rsidR="007F7358" w:rsidRDefault="007F7358">
      <w:pPr>
        <w:rPr>
          <w:sz w:val="23"/>
          <w:szCs w:val="23"/>
        </w:rPr>
      </w:pPr>
    </w:p>
    <w:p w:rsidR="007F7358" w:rsidRDefault="008A50F1">
      <w:pPr>
        <w:spacing w:after="240"/>
        <w:rPr>
          <w:sz w:val="23"/>
          <w:szCs w:val="23"/>
        </w:rPr>
      </w:pPr>
      <w:r w:rsidRPr="008A50F1">
        <w:rPr>
          <w:sz w:val="23"/>
          <w:szCs w:val="23"/>
        </w:rPr>
        <w:drawing>
          <wp:anchor distT="0" distB="0" distL="114300" distR="114300" simplePos="0" relativeHeight="251664896" behindDoc="0" locked="0" layoutInCell="1" allowOverlap="1" wp14:anchorId="6444BF59" wp14:editId="3C6DAB86">
            <wp:simplePos x="0" y="0"/>
            <wp:positionH relativeFrom="column">
              <wp:posOffset>4431323</wp:posOffset>
            </wp:positionH>
            <wp:positionV relativeFrom="paragraph">
              <wp:posOffset>26963</wp:posOffset>
            </wp:positionV>
            <wp:extent cx="1293495" cy="1233805"/>
            <wp:effectExtent l="0" t="0" r="1905" b="4445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23E">
        <w:rPr>
          <w:rFonts w:hint="eastAsia"/>
          <w:sz w:val="23"/>
          <w:szCs w:val="23"/>
        </w:rPr>
        <w:t>6</w:t>
      </w:r>
      <w:r w:rsidR="0088623E">
        <w:rPr>
          <w:sz w:val="23"/>
          <w:szCs w:val="23"/>
        </w:rPr>
        <w:t xml:space="preserve">. The option adjusted spread (OAS) is </w:t>
      </w:r>
      <w:r w:rsidR="0088623E">
        <w:rPr>
          <w:i/>
          <w:iCs/>
          <w:sz w:val="23"/>
          <w:szCs w:val="23"/>
        </w:rPr>
        <w:t>best</w:t>
      </w:r>
      <w:r w:rsidR="0088623E">
        <w:rPr>
          <w:sz w:val="23"/>
          <w:szCs w:val="23"/>
        </w:rPr>
        <w:t xml:space="preserve"> described as the:</w:t>
      </w:r>
    </w:p>
    <w:p w:rsidR="007F7358" w:rsidRDefault="0088623E">
      <w:pPr>
        <w:spacing w:after="240"/>
        <w:rPr>
          <w:sz w:val="23"/>
          <w:szCs w:val="23"/>
        </w:rPr>
      </w:pPr>
      <w:r>
        <w:rPr>
          <w:sz w:val="23"/>
          <w:szCs w:val="23"/>
        </w:rPr>
        <w:t>A. Z-spread minus the option cost.</w:t>
      </w:r>
      <w:r w:rsidR="008A50F1" w:rsidRPr="008A50F1">
        <w:rPr>
          <w:noProof/>
        </w:rPr>
        <w:t xml:space="preserve"> </w:t>
      </w:r>
    </w:p>
    <w:p w:rsidR="007F7358" w:rsidRDefault="0088623E">
      <w:pPr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B. Z-spread </w:t>
      </w:r>
      <w:r>
        <w:rPr>
          <w:sz w:val="23"/>
          <w:szCs w:val="23"/>
        </w:rPr>
        <w:t>plus the cost of the option.</w:t>
      </w:r>
    </w:p>
    <w:p w:rsidR="007F7358" w:rsidRDefault="0088623E">
      <w:pPr>
        <w:spacing w:after="240"/>
        <w:rPr>
          <w:sz w:val="23"/>
          <w:szCs w:val="23"/>
        </w:rPr>
      </w:pPr>
      <w:r>
        <w:rPr>
          <w:sz w:val="23"/>
          <w:szCs w:val="23"/>
        </w:rPr>
        <w:t>C. value of the security’s embedded option.</w:t>
      </w:r>
    </w:p>
    <w:p w:rsidR="007F7358" w:rsidRDefault="0088623E">
      <w:pPr>
        <w:rPr>
          <w:b/>
          <w:bCs/>
          <w:sz w:val="23"/>
          <w:szCs w:val="23"/>
        </w:rPr>
      </w:pPr>
      <w:r>
        <w:rPr>
          <w:sz w:val="23"/>
          <w:szCs w:val="23"/>
        </w:rPr>
        <w:t> </w:t>
      </w:r>
      <w:r>
        <w:rPr>
          <w:b/>
          <w:bCs/>
          <w:sz w:val="23"/>
          <w:szCs w:val="23"/>
        </w:rPr>
        <w:t xml:space="preserve">Answer: A </w:t>
      </w:r>
    </w:p>
    <w:p w:rsidR="007F7358" w:rsidRDefault="0088623E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The Z-spread is the sum of the OAS and the option cost.</w:t>
      </w: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7</w:t>
      </w:r>
      <w:r>
        <w:rPr>
          <w:sz w:val="23"/>
          <w:szCs w:val="23"/>
        </w:rPr>
        <w:t>. An 8 percent coupon bond with a par value of $100 matures in 2 years and is selling at $98.24 to yield 9 percent. Exactly one year ago this bond sold at a price of $95.03 to yield 10 percent. The bond pays annual interest. The change in price attributabl</w:t>
      </w:r>
      <w:r>
        <w:rPr>
          <w:sz w:val="23"/>
          <w:szCs w:val="23"/>
        </w:rPr>
        <w:t xml:space="preserve">e to the change in maturity is </w:t>
      </w:r>
      <w:r>
        <w:rPr>
          <w:i/>
          <w:sz w:val="23"/>
          <w:szCs w:val="23"/>
        </w:rPr>
        <w:t>closest</w:t>
      </w:r>
      <w:r>
        <w:rPr>
          <w:sz w:val="23"/>
          <w:szCs w:val="23"/>
        </w:rPr>
        <w:t xml:space="preserve"> to: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A. $1.50.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B. $3.21.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C. $4.97.</w:t>
      </w: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</w:t>
      </w:r>
      <w:r>
        <w:rPr>
          <w:rFonts w:hint="eastAsia"/>
          <w:b/>
          <w:bCs/>
          <w:sz w:val="23"/>
          <w:szCs w:val="23"/>
        </w:rPr>
        <w:t xml:space="preserve"> =</w:t>
      </w:r>
      <w:r>
        <w:rPr>
          <w:b/>
          <w:bCs/>
          <w:sz w:val="23"/>
          <w:szCs w:val="23"/>
        </w:rPr>
        <w:t xml:space="preserve"> A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The price of the bond one year ago was $95.03 to yield 10%.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If the yield stays at 10%, the price of the bond today is:</w:t>
      </w:r>
    </w:p>
    <w:p w:rsidR="007F7358" w:rsidRDefault="0088623E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1466850" cy="476250"/>
            <wp:effectExtent l="19050" t="0" r="0" b="0"/>
            <wp:docPr id="6" name="图片 5" descr="e 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e 5.wm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8776" cy="4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The change in price attributable to moving to matu</w:t>
      </w:r>
      <w:r>
        <w:rPr>
          <w:sz w:val="23"/>
          <w:szCs w:val="23"/>
        </w:rPr>
        <w:t>rity = $96.53 – $95.03 = $1.50.</w:t>
      </w:r>
    </w:p>
    <w:p w:rsidR="007F7358" w:rsidRDefault="007F7358">
      <w:pPr>
        <w:rPr>
          <w:sz w:val="23"/>
          <w:szCs w:val="23"/>
        </w:rPr>
      </w:pP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8</w:t>
      </w:r>
      <w:r>
        <w:rPr>
          <w:sz w:val="23"/>
          <w:szCs w:val="23"/>
        </w:rPr>
        <w:t xml:space="preserve">. The duration of a fixed-income portfolio is </w:t>
      </w:r>
      <w:r>
        <w:rPr>
          <w:i/>
          <w:sz w:val="23"/>
          <w:szCs w:val="23"/>
        </w:rPr>
        <w:t>best</w:t>
      </w:r>
      <w:r>
        <w:rPr>
          <w:sz w:val="23"/>
          <w:szCs w:val="23"/>
        </w:rPr>
        <w:t xml:space="preserve"> interpreted as the: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A. first derivative of the price function for the bonds in the portfolio.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B. percentage change in the portfolio’s value if interest rates change by 100 basis points.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C. weighted average number of years to receive the present value of the portfolio’s cash flows. </w:t>
      </w:r>
    </w:p>
    <w:p w:rsidR="007F7358" w:rsidRDefault="007F7358">
      <w:pPr>
        <w:rPr>
          <w:bCs/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</w:t>
      </w:r>
      <w:r>
        <w:rPr>
          <w:rFonts w:hint="eastAsia"/>
          <w:b/>
          <w:bCs/>
          <w:sz w:val="23"/>
          <w:szCs w:val="23"/>
        </w:rPr>
        <w:t xml:space="preserve"> =</w:t>
      </w:r>
      <w:r>
        <w:rPr>
          <w:b/>
          <w:bCs/>
          <w:sz w:val="23"/>
          <w:szCs w:val="23"/>
        </w:rPr>
        <w:t xml:space="preserve"> B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Users of this interest rate risk measure are intereste</w:t>
      </w:r>
      <w:r>
        <w:rPr>
          <w:sz w:val="23"/>
          <w:szCs w:val="23"/>
        </w:rPr>
        <w:t>d in what it tells them about the price sensitivity of a bond or a portfolio to change in interest rates, therefore B is correct.</w:t>
      </w:r>
    </w:p>
    <w:p w:rsidR="007F7358" w:rsidRDefault="007F7358">
      <w:pPr>
        <w:rPr>
          <w:bCs/>
          <w:sz w:val="23"/>
          <w:szCs w:val="23"/>
        </w:rPr>
      </w:pPr>
    </w:p>
    <w:p w:rsidR="007F7358" w:rsidRDefault="007F7358">
      <w:pPr>
        <w:rPr>
          <w:sz w:val="23"/>
          <w:szCs w:val="23"/>
        </w:rPr>
      </w:pPr>
    </w:p>
    <w:p w:rsidR="007F7358" w:rsidRDefault="008A50F1">
      <w:pPr>
        <w:spacing w:after="240"/>
        <w:rPr>
          <w:bCs/>
          <w:sz w:val="23"/>
          <w:szCs w:val="23"/>
        </w:rPr>
      </w:pPr>
      <w:r w:rsidRPr="008A50F1">
        <w:rPr>
          <w:sz w:val="23"/>
          <w:szCs w:val="23"/>
        </w:rPr>
        <w:drawing>
          <wp:anchor distT="0" distB="0" distL="114300" distR="114300" simplePos="0" relativeHeight="251667968" behindDoc="0" locked="0" layoutInCell="1" allowOverlap="1" wp14:anchorId="56BD04E3" wp14:editId="2C714D5C">
            <wp:simplePos x="0" y="0"/>
            <wp:positionH relativeFrom="column">
              <wp:posOffset>4895508</wp:posOffset>
            </wp:positionH>
            <wp:positionV relativeFrom="paragraph">
              <wp:posOffset>279058</wp:posOffset>
            </wp:positionV>
            <wp:extent cx="1217295" cy="1160145"/>
            <wp:effectExtent l="0" t="0" r="1905" b="1905"/>
            <wp:wrapNone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23E">
        <w:rPr>
          <w:rFonts w:hint="eastAsia"/>
          <w:bCs/>
          <w:sz w:val="23"/>
          <w:szCs w:val="23"/>
        </w:rPr>
        <w:t>9</w:t>
      </w:r>
      <w:r w:rsidR="0088623E">
        <w:rPr>
          <w:bCs/>
          <w:sz w:val="23"/>
          <w:szCs w:val="23"/>
        </w:rPr>
        <w:t>. An analyst gathered the following information about a portfolio comprised of three bonds:</w:t>
      </w:r>
    </w:p>
    <w:tbl>
      <w:tblPr>
        <w:tblStyle w:val="aa"/>
        <w:tblW w:w="538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127"/>
        <w:gridCol w:w="1275"/>
      </w:tblGrid>
      <w:tr w:rsidR="007F7358">
        <w:trPr>
          <w:trHeight w:val="315"/>
        </w:trPr>
        <w:tc>
          <w:tcPr>
            <w:tcW w:w="850" w:type="dxa"/>
          </w:tcPr>
          <w:p w:rsidR="007F7358" w:rsidRDefault="0088623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Bond </w:t>
            </w:r>
          </w:p>
        </w:tc>
        <w:tc>
          <w:tcPr>
            <w:tcW w:w="1134" w:type="dxa"/>
          </w:tcPr>
          <w:p w:rsidR="007F7358" w:rsidRDefault="0088623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Price ($) </w:t>
            </w:r>
          </w:p>
        </w:tc>
        <w:tc>
          <w:tcPr>
            <w:tcW w:w="2127" w:type="dxa"/>
          </w:tcPr>
          <w:p w:rsidR="007F7358" w:rsidRDefault="0088623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Par Amount Own</w:t>
            </w:r>
            <w:r>
              <w:rPr>
                <w:bCs/>
                <w:sz w:val="23"/>
                <w:szCs w:val="23"/>
              </w:rPr>
              <w:t xml:space="preserve">ed </w:t>
            </w:r>
          </w:p>
        </w:tc>
        <w:tc>
          <w:tcPr>
            <w:tcW w:w="1275" w:type="dxa"/>
          </w:tcPr>
          <w:p w:rsidR="007F7358" w:rsidRDefault="0088623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Duration </w:t>
            </w:r>
          </w:p>
        </w:tc>
      </w:tr>
      <w:tr w:rsidR="007F7358">
        <w:trPr>
          <w:trHeight w:val="315"/>
        </w:trPr>
        <w:tc>
          <w:tcPr>
            <w:tcW w:w="850" w:type="dxa"/>
          </w:tcPr>
          <w:p w:rsidR="007F7358" w:rsidRDefault="0088623E">
            <w:pPr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A</w:t>
            </w:r>
          </w:p>
        </w:tc>
        <w:tc>
          <w:tcPr>
            <w:tcW w:w="1134" w:type="dxa"/>
          </w:tcPr>
          <w:p w:rsidR="007F7358" w:rsidRDefault="0088623E">
            <w:pPr>
              <w:pStyle w:val="Default"/>
              <w:jc w:val="both"/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</w:pP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 xml:space="preserve">102.000 </w:t>
            </w:r>
          </w:p>
        </w:tc>
        <w:tc>
          <w:tcPr>
            <w:tcW w:w="2127" w:type="dxa"/>
          </w:tcPr>
          <w:p w:rsidR="007F7358" w:rsidRDefault="0088623E">
            <w:pPr>
              <w:pStyle w:val="Default"/>
              <w:jc w:val="both"/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</w:pP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 xml:space="preserve">$7 million </w:t>
            </w:r>
          </w:p>
        </w:tc>
        <w:tc>
          <w:tcPr>
            <w:tcW w:w="1275" w:type="dxa"/>
          </w:tcPr>
          <w:p w:rsidR="007F7358" w:rsidRDefault="0088623E">
            <w:pPr>
              <w:pStyle w:val="Default"/>
              <w:jc w:val="both"/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</w:pP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 xml:space="preserve">1.89 </w:t>
            </w:r>
          </w:p>
        </w:tc>
      </w:tr>
      <w:tr w:rsidR="007F7358">
        <w:trPr>
          <w:trHeight w:val="315"/>
        </w:trPr>
        <w:tc>
          <w:tcPr>
            <w:tcW w:w="850" w:type="dxa"/>
          </w:tcPr>
          <w:p w:rsidR="007F7358" w:rsidRDefault="0088623E">
            <w:pPr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B</w:t>
            </w:r>
          </w:p>
        </w:tc>
        <w:tc>
          <w:tcPr>
            <w:tcW w:w="1134" w:type="dxa"/>
          </w:tcPr>
          <w:p w:rsidR="007F7358" w:rsidRDefault="0088623E">
            <w:pPr>
              <w:pStyle w:val="Default"/>
              <w:jc w:val="both"/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</w:pP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 xml:space="preserve">94.356 </w:t>
            </w:r>
          </w:p>
        </w:tc>
        <w:tc>
          <w:tcPr>
            <w:tcW w:w="2127" w:type="dxa"/>
          </w:tcPr>
          <w:p w:rsidR="007F7358" w:rsidRDefault="0088623E">
            <w:pPr>
              <w:pStyle w:val="Default"/>
              <w:jc w:val="both"/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</w:pP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>$</w:t>
            </w:r>
            <w:r>
              <w:rPr>
                <w:rFonts w:asciiTheme="minorHAnsi" w:hAnsiTheme="minorHAnsi" w:cstheme="minorBidi" w:hint="eastAsia"/>
                <w:bCs/>
                <w:color w:val="auto"/>
                <w:kern w:val="2"/>
                <w:sz w:val="23"/>
                <w:szCs w:val="23"/>
              </w:rPr>
              <w:t>5</w:t>
            </w: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 xml:space="preserve"> million </w:t>
            </w:r>
          </w:p>
        </w:tc>
        <w:tc>
          <w:tcPr>
            <w:tcW w:w="1275" w:type="dxa"/>
          </w:tcPr>
          <w:p w:rsidR="007F7358" w:rsidRDefault="0088623E">
            <w:pPr>
              <w:pStyle w:val="Default"/>
              <w:jc w:val="both"/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</w:pP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 xml:space="preserve">7.70 </w:t>
            </w:r>
          </w:p>
        </w:tc>
      </w:tr>
      <w:tr w:rsidR="007F7358">
        <w:trPr>
          <w:trHeight w:val="315"/>
        </w:trPr>
        <w:tc>
          <w:tcPr>
            <w:tcW w:w="850" w:type="dxa"/>
          </w:tcPr>
          <w:p w:rsidR="007F7358" w:rsidRDefault="0088623E">
            <w:pPr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lastRenderedPageBreak/>
              <w:t>C</w:t>
            </w:r>
          </w:p>
        </w:tc>
        <w:tc>
          <w:tcPr>
            <w:tcW w:w="1134" w:type="dxa"/>
          </w:tcPr>
          <w:p w:rsidR="007F7358" w:rsidRDefault="0088623E">
            <w:pPr>
              <w:pStyle w:val="Default"/>
              <w:jc w:val="both"/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</w:pP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 xml:space="preserve">88.688 </w:t>
            </w:r>
          </w:p>
        </w:tc>
        <w:tc>
          <w:tcPr>
            <w:tcW w:w="2127" w:type="dxa"/>
          </w:tcPr>
          <w:p w:rsidR="007F7358" w:rsidRDefault="0088623E">
            <w:pPr>
              <w:pStyle w:val="Default"/>
              <w:jc w:val="both"/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</w:pP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>$</w:t>
            </w:r>
            <w:r>
              <w:rPr>
                <w:rFonts w:asciiTheme="minorHAnsi" w:hAnsiTheme="minorHAnsi" w:cstheme="minorBidi" w:hint="eastAsia"/>
                <w:bCs/>
                <w:color w:val="auto"/>
                <w:kern w:val="2"/>
                <w:sz w:val="23"/>
                <w:szCs w:val="23"/>
              </w:rPr>
              <w:t>3</w:t>
            </w: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 xml:space="preserve"> million </w:t>
            </w:r>
          </w:p>
        </w:tc>
        <w:tc>
          <w:tcPr>
            <w:tcW w:w="1275" w:type="dxa"/>
          </w:tcPr>
          <w:p w:rsidR="007F7358" w:rsidRDefault="0088623E">
            <w:pPr>
              <w:pStyle w:val="Default"/>
              <w:jc w:val="both"/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</w:pPr>
            <w:r>
              <w:rPr>
                <w:rFonts w:asciiTheme="minorHAnsi" w:hAnsiTheme="minorHAnsi" w:cstheme="minorBidi"/>
                <w:bCs/>
                <w:color w:val="auto"/>
                <w:kern w:val="2"/>
                <w:sz w:val="23"/>
                <w:szCs w:val="23"/>
              </w:rPr>
              <w:t xml:space="preserve">11.55 </w:t>
            </w:r>
          </w:p>
        </w:tc>
      </w:tr>
    </w:tbl>
    <w:p w:rsidR="007F7358" w:rsidRDefault="0088623E">
      <w:pPr>
        <w:spacing w:before="240"/>
        <w:rPr>
          <w:bCs/>
          <w:sz w:val="23"/>
          <w:szCs w:val="23"/>
        </w:rPr>
      </w:pPr>
      <w:r>
        <w:rPr>
          <w:bCs/>
          <w:sz w:val="23"/>
          <w:szCs w:val="23"/>
        </w:rPr>
        <w:t>Assuming there is no accrued interest, then the portfolio duration is</w:t>
      </w:r>
      <w:r>
        <w:rPr>
          <w:bCs/>
          <w:i/>
          <w:sz w:val="23"/>
          <w:szCs w:val="23"/>
        </w:rPr>
        <w:t xml:space="preserve"> closest</w:t>
      </w:r>
      <w:r>
        <w:rPr>
          <w:bCs/>
          <w:sz w:val="23"/>
          <w:szCs w:val="23"/>
        </w:rPr>
        <w:t xml:space="preserve"> to:</w:t>
      </w:r>
    </w:p>
    <w:p w:rsidR="007F7358" w:rsidRDefault="008A50F1">
      <w:pPr>
        <w:rPr>
          <w:bCs/>
          <w:sz w:val="23"/>
          <w:szCs w:val="23"/>
        </w:rPr>
      </w:pPr>
      <w:r w:rsidRPr="008A50F1">
        <w:rPr>
          <w:bCs/>
          <w:sz w:val="23"/>
          <w:szCs w:val="23"/>
        </w:rPr>
        <w:drawing>
          <wp:anchor distT="0" distB="0" distL="114300" distR="114300" simplePos="0" relativeHeight="251670016" behindDoc="0" locked="0" layoutInCell="1" allowOverlap="1" wp14:anchorId="6444BF59" wp14:editId="3C6DAB86">
            <wp:simplePos x="0" y="0"/>
            <wp:positionH relativeFrom="column">
              <wp:posOffset>5036234</wp:posOffset>
            </wp:positionH>
            <wp:positionV relativeFrom="paragraph">
              <wp:posOffset>30480</wp:posOffset>
            </wp:positionV>
            <wp:extent cx="1293495" cy="1233805"/>
            <wp:effectExtent l="0" t="0" r="1905" b="4445"/>
            <wp:wrapNone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23E">
        <w:rPr>
          <w:bCs/>
          <w:sz w:val="23"/>
          <w:szCs w:val="23"/>
        </w:rPr>
        <w:t>A. 5.55 years.</w:t>
      </w:r>
    </w:p>
    <w:p w:rsidR="007F7358" w:rsidRDefault="0088623E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B. 5.76 years.</w:t>
      </w:r>
    </w:p>
    <w:p w:rsidR="007F7358" w:rsidRDefault="0088623E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C. 6.82 years.</w:t>
      </w:r>
      <w:r w:rsidR="008A50F1" w:rsidRPr="008A50F1">
        <w:rPr>
          <w:noProof/>
        </w:rPr>
        <w:t xml:space="preserve"> </w:t>
      </w:r>
    </w:p>
    <w:p w:rsidR="007F7358" w:rsidRDefault="007F7358">
      <w:pPr>
        <w:rPr>
          <w:bCs/>
          <w:sz w:val="23"/>
          <w:szCs w:val="23"/>
        </w:rPr>
      </w:pPr>
    </w:p>
    <w:p w:rsidR="007F7358" w:rsidRDefault="0088623E">
      <w:pPr>
        <w:rPr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Answer = A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Portfolio value = (1.02 × 7 mil) + (0.94356 × 5 mil) + (0.88688 × 3 mil) = 14,518,440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Weight, Bond A = 7,140,000 / 14,518,440 = 0.492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Weight, Bond B = 4,717,800 / 14,518,440 = 0.325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Weight, Bond C = 2,660,640 / 14,518,440 = 0.183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Portfolio duration = </w:t>
      </w:r>
      <w:r>
        <w:rPr>
          <w:sz w:val="23"/>
          <w:szCs w:val="23"/>
        </w:rPr>
        <w:t>(0.492 × 1.89) + (0.325 × 7.70) + (0.183 × 11.55) = 5.55</w:t>
      </w:r>
    </w:p>
    <w:p w:rsidR="007F7358" w:rsidRDefault="007F7358">
      <w:pPr>
        <w:rPr>
          <w:bCs/>
          <w:sz w:val="23"/>
          <w:szCs w:val="23"/>
        </w:rPr>
      </w:pPr>
    </w:p>
    <w:p w:rsidR="007F7358" w:rsidRDefault="007F7358">
      <w:pPr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10</w:t>
      </w:r>
      <w:r>
        <w:rPr>
          <w:sz w:val="23"/>
          <w:szCs w:val="23"/>
        </w:rPr>
        <w:t xml:space="preserve">. A bond has a modified duration of 6.5 and convexity of -42.4. If interest rates decrease by 1.0 percent, the percentage change in the value of the bond will be </w:t>
      </w:r>
      <w:r>
        <w:rPr>
          <w:i/>
          <w:sz w:val="23"/>
          <w:szCs w:val="23"/>
        </w:rPr>
        <w:t>closest</w:t>
      </w:r>
      <w:r>
        <w:rPr>
          <w:sz w:val="23"/>
          <w:szCs w:val="23"/>
        </w:rPr>
        <w:t xml:space="preserve"> to: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A. -6.92%.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B. +2.76%.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>C. +6.08%.</w:t>
      </w:r>
    </w:p>
    <w:p w:rsidR="007F7358" w:rsidRDefault="007F7358">
      <w:pPr>
        <w:pStyle w:val="Default"/>
        <w:rPr>
          <w:sz w:val="23"/>
          <w:szCs w:val="23"/>
        </w:rPr>
      </w:pPr>
    </w:p>
    <w:p w:rsidR="007F7358" w:rsidRDefault="0088623E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</w:t>
      </w:r>
      <w:r>
        <w:rPr>
          <w:rFonts w:hint="eastAsia"/>
          <w:b/>
          <w:bCs/>
          <w:sz w:val="23"/>
          <w:szCs w:val="23"/>
        </w:rPr>
        <w:t xml:space="preserve"> =</w:t>
      </w:r>
      <w:r>
        <w:rPr>
          <w:b/>
          <w:bCs/>
          <w:sz w:val="23"/>
          <w:szCs w:val="23"/>
        </w:rPr>
        <w:t xml:space="preserve"> C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The percentage change in the bond’s value is equal to: </w:t>
      </w:r>
    </w:p>
    <w:p w:rsidR="007F7358" w:rsidRDefault="0088623E">
      <w:pPr>
        <w:rPr>
          <w:sz w:val="23"/>
          <w:szCs w:val="23"/>
        </w:rPr>
      </w:pPr>
      <w:r>
        <w:rPr>
          <w:sz w:val="23"/>
          <w:szCs w:val="23"/>
        </w:rPr>
        <w:t xml:space="preserve">(-Duration × </w:t>
      </w:r>
      <w:proofErr w:type="spellStart"/>
      <w:r>
        <w:rPr>
          <w:sz w:val="23"/>
          <w:szCs w:val="23"/>
        </w:rPr>
        <w:t>Δy</w:t>
      </w:r>
      <w:proofErr w:type="spellEnd"/>
      <w:r>
        <w:rPr>
          <w:sz w:val="23"/>
          <w:szCs w:val="23"/>
        </w:rPr>
        <w:t>* × 100%) + (C × (</w:t>
      </w:r>
      <w:proofErr w:type="spellStart"/>
      <w:r>
        <w:rPr>
          <w:sz w:val="23"/>
          <w:szCs w:val="23"/>
        </w:rPr>
        <w:t>Δy</w:t>
      </w:r>
      <w:proofErr w:type="spellEnd"/>
      <w:r>
        <w:rPr>
          <w:sz w:val="23"/>
          <w:szCs w:val="23"/>
        </w:rPr>
        <w:t>*)</w:t>
      </w:r>
      <w:r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 xml:space="preserve"> × 100%) = (-6.5 × -0.01 × 100%) + (-42.4 × (-0.01)</w:t>
      </w:r>
      <w:r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 xml:space="preserve"> × 100%) = +6.5% - 0.424% = +6.08.</w:t>
      </w:r>
    </w:p>
    <w:p w:rsidR="007F7358" w:rsidRDefault="007F7358">
      <w:pPr>
        <w:pStyle w:val="Default"/>
        <w:rPr>
          <w:sz w:val="23"/>
          <w:szCs w:val="23"/>
        </w:rPr>
      </w:pPr>
    </w:p>
    <w:p w:rsidR="007F7358" w:rsidRDefault="008A50F1">
      <w:pPr>
        <w:rPr>
          <w:sz w:val="23"/>
          <w:szCs w:val="23"/>
        </w:rPr>
      </w:pPr>
      <w:bookmarkStart w:id="0" w:name="_GoBack"/>
      <w:bookmarkEnd w:id="0"/>
      <w:r w:rsidRPr="008A50F1">
        <w:rPr>
          <w:bCs/>
          <w:sz w:val="23"/>
          <w:szCs w:val="23"/>
        </w:rPr>
        <w:drawing>
          <wp:anchor distT="0" distB="0" distL="114300" distR="114300" simplePos="0" relativeHeight="251673088" behindDoc="0" locked="0" layoutInCell="1" allowOverlap="1" wp14:anchorId="56BD04E3" wp14:editId="2C714D5C">
            <wp:simplePos x="0" y="0"/>
            <wp:positionH relativeFrom="column">
              <wp:posOffset>5500419</wp:posOffset>
            </wp:positionH>
            <wp:positionV relativeFrom="paragraph">
              <wp:posOffset>2873375</wp:posOffset>
            </wp:positionV>
            <wp:extent cx="1217295" cy="1160145"/>
            <wp:effectExtent l="0" t="0" r="1905" b="1905"/>
            <wp:wrapNone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7358">
      <w:headerReference w:type="default" r:id="rId15"/>
      <w:footerReference w:type="default" r:id="rId16"/>
      <w:pgSz w:w="11906" w:h="16838"/>
      <w:pgMar w:top="1440" w:right="1133" w:bottom="1276" w:left="1134" w:header="851" w:footer="61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23E" w:rsidRDefault="0088623E">
      <w:r>
        <w:separator/>
      </w:r>
    </w:p>
  </w:endnote>
  <w:endnote w:type="continuationSeparator" w:id="0">
    <w:p w:rsidR="0088623E" w:rsidRDefault="0088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358" w:rsidRDefault="0088623E">
    <w:pPr>
      <w:pStyle w:val="a5"/>
      <w:pBdr>
        <w:top w:val="single" w:sz="4" w:space="1" w:color="A5A5A5" w:themeColor="background1" w:themeShade="A5"/>
      </w:pBdr>
      <w:wordWrap w:val="0"/>
      <w:jc w:val="right"/>
      <w:rPr>
        <w:color w:val="7F7F7F" w:themeColor="background1" w:themeShade="7F"/>
      </w:rPr>
    </w:pPr>
    <w:r>
      <w:rPr>
        <w:color w:val="7F7F7F" w:themeColor="background1" w:themeShade="7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left:0;text-align:left;margin-left:433.15pt;margin-top:-16.65pt;width:41.3pt;height:18.25pt;z-index:251697152;mso-width-relative:page;mso-height-relative:page" filled="f" stroked="f">
          <v:textbox inset=",0,,0">
            <w:txbxContent>
              <w:p w:rsidR="007F7358" w:rsidRDefault="0088623E">
                <w:pPr>
                  <w:jc w:val="center"/>
                  <w:rPr>
                    <w:color w:val="4F81BD" w:themeColor="accent1"/>
                  </w:rPr>
                </w:pPr>
                <w:r>
                  <w:rPr>
                    <w:rFonts w:hint="eastAsia"/>
                  </w:rPr>
                  <w:t>-</w:t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 xml:space="preserve">PAGE   \* MERGEFORMAT </w:instrText>
                </w:r>
                <w:r>
                  <w:fldChar w:fldCharType="separate"/>
                </w:r>
                <w:r w:rsidR="008A50F1" w:rsidRPr="008A50F1">
                  <w:rPr>
                    <w:noProof/>
                    <w:lang w:val="zh-CN"/>
                  </w:rPr>
                  <w:t>3</w:t>
                </w:r>
                <w:r>
                  <w:rPr>
                    <w:lang w:val="zh-CN"/>
                  </w:rPr>
                  <w:fldChar w:fldCharType="end"/>
                </w:r>
                <w:r>
                  <w:rPr>
                    <w:rFonts w:hint="eastAsia"/>
                  </w:rPr>
                  <w:t>-</w:t>
                </w:r>
              </w:p>
            </w:txbxContent>
          </v:textbox>
        </v:shape>
      </w:pict>
    </w:r>
    <w:sdt>
      <w:sdtPr>
        <w:alias w:val="公司"/>
        <w:id w:val="76161118"/>
        <w:placeholder>
          <w:docPart w:val="A0F7A561D771482C9B76A384459B592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hint="eastAsia"/>
          </w:rPr>
          <w:t>学服：</w:t>
        </w:r>
        <w:r>
          <w:rPr>
            <w:rFonts w:hint="eastAsia"/>
          </w:rPr>
          <w:t xml:space="preserve">021-51210513  </w:t>
        </w:r>
        <w:r>
          <w:rPr>
            <w:rFonts w:hint="eastAsia"/>
          </w:rPr>
          <w:t>咨询：</w:t>
        </w:r>
        <w:r>
          <w:rPr>
            <w:rFonts w:hint="eastAsia"/>
          </w:rPr>
          <w:t xml:space="preserve">400-600-8011  </w:t>
        </w:r>
        <w:r>
          <w:rPr>
            <w:rFonts w:hint="eastAsia"/>
          </w:rPr>
          <w:t>邮箱：</w:t>
        </w:r>
        <w:r>
          <w:rPr>
            <w:rFonts w:hint="eastAsia"/>
          </w:rPr>
          <w:t xml:space="preserve">cfa@gaodun.cn  </w:t>
        </w:r>
        <w:r>
          <w:rPr>
            <w:rFonts w:hint="eastAsia"/>
          </w:rPr>
          <w:t>网站：</w:t>
        </w:r>
        <w:r>
          <w:rPr>
            <w:rFonts w:hint="eastAsia"/>
          </w:rPr>
          <w:t>cfa.gaodun.cn</w:t>
        </w:r>
      </w:sdtContent>
    </w:sdt>
    <w:r>
      <w:rPr>
        <w:color w:val="7F7F7F" w:themeColor="background1" w:themeShade="7F"/>
        <w:lang w:val="zh-CN"/>
      </w:rPr>
      <w:t>|</w:t>
    </w:r>
    <w:sdt>
      <w:sdtPr>
        <w:rPr>
          <w:b/>
        </w:rPr>
        <w:alias w:val="地址"/>
        <w:id w:val="76161122"/>
        <w:placeholder>
          <w:docPart w:val="1E11AA381CAA41E7AE1E8A726AB6049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>
          <w:rPr>
            <w:rFonts w:hint="eastAsia"/>
            <w:b/>
          </w:rPr>
          <w:t>高顿财经</w:t>
        </w:r>
        <w:r>
          <w:rPr>
            <w:rFonts w:hint="eastAsia"/>
            <w:b/>
          </w:rPr>
          <w:t xml:space="preserve">  </w:t>
        </w:r>
      </w:sdtContent>
    </w:sdt>
  </w:p>
  <w:p w:rsidR="007F7358" w:rsidRDefault="007F73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23E" w:rsidRDefault="0088623E">
      <w:r>
        <w:separator/>
      </w:r>
    </w:p>
  </w:footnote>
  <w:footnote w:type="continuationSeparator" w:id="0">
    <w:p w:rsidR="0088623E" w:rsidRDefault="00886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358" w:rsidRDefault="0088623E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left:0;text-align:left;margin-left:353.65pt;margin-top:-19.15pt;width:162.9pt;height:40.5pt;z-index:251781120;mso-width-relative:page;mso-height-relative:page" filled="f" stroked="f">
          <v:textbox>
            <w:txbxContent>
              <w:p w:rsidR="007F7358" w:rsidRDefault="0088623E">
                <w:pPr>
                  <w:jc w:val="center"/>
                  <w:rPr>
                    <w:rFonts w:ascii="黑体" w:eastAsia="黑体"/>
                    <w:sz w:val="24"/>
                    <w:szCs w:val="24"/>
                  </w:rPr>
                </w:pPr>
                <w:r>
                  <w:rPr>
                    <w:rFonts w:ascii="黑体" w:eastAsia="黑体" w:hint="eastAsia"/>
                    <w:sz w:val="24"/>
                    <w:szCs w:val="24"/>
                  </w:rPr>
                  <w:t>财经学习，只在高顿</w:t>
                </w:r>
                <w:r>
                  <w:rPr>
                    <w:rFonts w:ascii="黑体" w:eastAsia="黑体"/>
                    <w:sz w:val="24"/>
                    <w:szCs w:val="24"/>
                  </w:rPr>
                  <w:t>http://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finance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.</w:t>
                </w:r>
                <w:r>
                  <w:rPr>
                    <w:rFonts w:ascii="黑体" w:eastAsia="黑体"/>
                    <w:sz w:val="24"/>
                    <w:szCs w:val="24"/>
                  </w:rPr>
                  <w:t>gaodun.cn</w:t>
                </w:r>
              </w:p>
              <w:p w:rsidR="007F7358" w:rsidRDefault="007F7358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740160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-273050</wp:posOffset>
          </wp:positionV>
          <wp:extent cx="1256665" cy="466725"/>
          <wp:effectExtent l="0" t="0" r="635" b="9525"/>
          <wp:wrapSquare wrapText="bothSides"/>
          <wp:docPr id="3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rcRect r="62617"/>
                  <a:stretch>
                    <a:fillRect/>
                  </a:stretch>
                </pic:blipFill>
                <pic:spPr>
                  <a:xfrm>
                    <a:off x="0" y="0"/>
                    <a:ext cx="1256665" cy="4667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7F7358" w:rsidRDefault="007F7358">
    <w:pPr>
      <w:pStyle w:val="a7"/>
    </w:pPr>
  </w:p>
  <w:p w:rsidR="007F7358" w:rsidRDefault="007F735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F7E"/>
    <w:rsid w:val="000213D0"/>
    <w:rsid w:val="000262EB"/>
    <w:rsid w:val="000840A9"/>
    <w:rsid w:val="000A1E27"/>
    <w:rsid w:val="000C0C02"/>
    <w:rsid w:val="000E3572"/>
    <w:rsid w:val="001009FA"/>
    <w:rsid w:val="00104BCB"/>
    <w:rsid w:val="0010549D"/>
    <w:rsid w:val="001155AF"/>
    <w:rsid w:val="001162D8"/>
    <w:rsid w:val="00131833"/>
    <w:rsid w:val="001648F3"/>
    <w:rsid w:val="0017311C"/>
    <w:rsid w:val="00173BCA"/>
    <w:rsid w:val="00177D82"/>
    <w:rsid w:val="0018274C"/>
    <w:rsid w:val="002215C7"/>
    <w:rsid w:val="00235764"/>
    <w:rsid w:val="00242151"/>
    <w:rsid w:val="0024278A"/>
    <w:rsid w:val="00295F0F"/>
    <w:rsid w:val="002A53CD"/>
    <w:rsid w:val="002B3BA1"/>
    <w:rsid w:val="002C031A"/>
    <w:rsid w:val="002C0C59"/>
    <w:rsid w:val="002C3314"/>
    <w:rsid w:val="002C4D66"/>
    <w:rsid w:val="002C64E8"/>
    <w:rsid w:val="00306E6B"/>
    <w:rsid w:val="00314D79"/>
    <w:rsid w:val="00317F3F"/>
    <w:rsid w:val="00394AB3"/>
    <w:rsid w:val="0041282B"/>
    <w:rsid w:val="00440193"/>
    <w:rsid w:val="0045215B"/>
    <w:rsid w:val="00463F69"/>
    <w:rsid w:val="00481277"/>
    <w:rsid w:val="00491A3A"/>
    <w:rsid w:val="00494FE9"/>
    <w:rsid w:val="00496942"/>
    <w:rsid w:val="004E545A"/>
    <w:rsid w:val="00522601"/>
    <w:rsid w:val="00532306"/>
    <w:rsid w:val="005427C7"/>
    <w:rsid w:val="0055699D"/>
    <w:rsid w:val="00564BC0"/>
    <w:rsid w:val="0056656C"/>
    <w:rsid w:val="00573CA2"/>
    <w:rsid w:val="00581374"/>
    <w:rsid w:val="00585D72"/>
    <w:rsid w:val="005F54F9"/>
    <w:rsid w:val="00623A57"/>
    <w:rsid w:val="0063187A"/>
    <w:rsid w:val="00636ECD"/>
    <w:rsid w:val="00641B36"/>
    <w:rsid w:val="0069291D"/>
    <w:rsid w:val="006B5FD4"/>
    <w:rsid w:val="006E30B8"/>
    <w:rsid w:val="006F1FC9"/>
    <w:rsid w:val="006F1FF0"/>
    <w:rsid w:val="00700109"/>
    <w:rsid w:val="00707B07"/>
    <w:rsid w:val="00714042"/>
    <w:rsid w:val="00721C28"/>
    <w:rsid w:val="00783579"/>
    <w:rsid w:val="007A3678"/>
    <w:rsid w:val="007A66D9"/>
    <w:rsid w:val="007F7358"/>
    <w:rsid w:val="007F7C48"/>
    <w:rsid w:val="00803D67"/>
    <w:rsid w:val="00821DE0"/>
    <w:rsid w:val="00830ACD"/>
    <w:rsid w:val="008404C3"/>
    <w:rsid w:val="00847075"/>
    <w:rsid w:val="00857BB1"/>
    <w:rsid w:val="008637CC"/>
    <w:rsid w:val="0088623E"/>
    <w:rsid w:val="008965CD"/>
    <w:rsid w:val="008A50F1"/>
    <w:rsid w:val="008B2240"/>
    <w:rsid w:val="008B70BC"/>
    <w:rsid w:val="00936AAC"/>
    <w:rsid w:val="00941CE6"/>
    <w:rsid w:val="00944F68"/>
    <w:rsid w:val="00955E03"/>
    <w:rsid w:val="00964A65"/>
    <w:rsid w:val="009707A4"/>
    <w:rsid w:val="00972EF0"/>
    <w:rsid w:val="009C64C9"/>
    <w:rsid w:val="009F5C7C"/>
    <w:rsid w:val="00A14D29"/>
    <w:rsid w:val="00A2731A"/>
    <w:rsid w:val="00A46DD5"/>
    <w:rsid w:val="00A53659"/>
    <w:rsid w:val="00A74FA3"/>
    <w:rsid w:val="00AA0EF9"/>
    <w:rsid w:val="00AA5F61"/>
    <w:rsid w:val="00AB7BF8"/>
    <w:rsid w:val="00AC52D6"/>
    <w:rsid w:val="00AD0F7E"/>
    <w:rsid w:val="00AD15A5"/>
    <w:rsid w:val="00B23221"/>
    <w:rsid w:val="00B36639"/>
    <w:rsid w:val="00B36C5E"/>
    <w:rsid w:val="00B55718"/>
    <w:rsid w:val="00B86451"/>
    <w:rsid w:val="00BD36A6"/>
    <w:rsid w:val="00C13261"/>
    <w:rsid w:val="00C15CF6"/>
    <w:rsid w:val="00C7503B"/>
    <w:rsid w:val="00C8087F"/>
    <w:rsid w:val="00CB4305"/>
    <w:rsid w:val="00CC1229"/>
    <w:rsid w:val="00CC62A7"/>
    <w:rsid w:val="00CD1523"/>
    <w:rsid w:val="00CD5AD7"/>
    <w:rsid w:val="00CE318F"/>
    <w:rsid w:val="00D02B2A"/>
    <w:rsid w:val="00D64CF6"/>
    <w:rsid w:val="00D672D8"/>
    <w:rsid w:val="00D73476"/>
    <w:rsid w:val="00D857DA"/>
    <w:rsid w:val="00D95F27"/>
    <w:rsid w:val="00DC0648"/>
    <w:rsid w:val="00DC48E9"/>
    <w:rsid w:val="00DC4958"/>
    <w:rsid w:val="00DD23B9"/>
    <w:rsid w:val="00E05F53"/>
    <w:rsid w:val="00E212C7"/>
    <w:rsid w:val="00E35815"/>
    <w:rsid w:val="00E82432"/>
    <w:rsid w:val="00E83613"/>
    <w:rsid w:val="00E87DA4"/>
    <w:rsid w:val="00E91043"/>
    <w:rsid w:val="00E93903"/>
    <w:rsid w:val="00EA27EB"/>
    <w:rsid w:val="00EB48A8"/>
    <w:rsid w:val="00EC06CE"/>
    <w:rsid w:val="00EE7465"/>
    <w:rsid w:val="00F01A14"/>
    <w:rsid w:val="00F05FA4"/>
    <w:rsid w:val="00F1088A"/>
    <w:rsid w:val="00F17F9C"/>
    <w:rsid w:val="00F31EDE"/>
    <w:rsid w:val="00F44116"/>
    <w:rsid w:val="00F51664"/>
    <w:rsid w:val="00F52392"/>
    <w:rsid w:val="00F95F69"/>
    <w:rsid w:val="00F97273"/>
    <w:rsid w:val="00FC1727"/>
    <w:rsid w:val="00FD55EC"/>
    <w:rsid w:val="52257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."/>
  <w:listSeparator w:val=","/>
  <w15:docId w15:val="{78004A11-F368-4EB6-87DD-0A792EE8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7A561D771482C9B76A384459B5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3A6B21-3094-4544-9725-81C794BE795E}"/>
      </w:docPartPr>
      <w:docPartBody>
        <w:p w:rsidR="000454DC" w:rsidRDefault="005F5308">
          <w:pPr>
            <w:pStyle w:val="A0F7A561D771482C9B76A384459B5920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键入公司名称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1E11AA381CAA41E7AE1E8A726AB604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CC2FD-04ED-4E7B-80CC-54DC307B713A}"/>
      </w:docPartPr>
      <w:docPartBody>
        <w:p w:rsidR="000454DC" w:rsidRDefault="005F5308">
          <w:pPr>
            <w:pStyle w:val="1E11AA381CAA41E7AE1E8A726AB6049E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159"/>
    <w:rsid w:val="000454DC"/>
    <w:rsid w:val="00063885"/>
    <w:rsid w:val="0006519D"/>
    <w:rsid w:val="0024698F"/>
    <w:rsid w:val="00247749"/>
    <w:rsid w:val="00471152"/>
    <w:rsid w:val="00472ACF"/>
    <w:rsid w:val="005215EF"/>
    <w:rsid w:val="005F5308"/>
    <w:rsid w:val="00614053"/>
    <w:rsid w:val="00784B24"/>
    <w:rsid w:val="00827267"/>
    <w:rsid w:val="00885E28"/>
    <w:rsid w:val="00A42FC0"/>
    <w:rsid w:val="00BC3983"/>
    <w:rsid w:val="00C2705B"/>
    <w:rsid w:val="00CA03AF"/>
    <w:rsid w:val="00D23D08"/>
    <w:rsid w:val="00D60159"/>
    <w:rsid w:val="00E64DA9"/>
    <w:rsid w:val="00FB6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6F1C1839E44C66B650A56F8643A3DF">
    <w:name w:val="006F1C1839E44C66B650A56F8643A3DF"/>
    <w:pPr>
      <w:widowControl w:val="0"/>
      <w:jc w:val="both"/>
    </w:pPr>
    <w:rPr>
      <w:kern w:val="2"/>
      <w:sz w:val="21"/>
      <w:szCs w:val="22"/>
    </w:rPr>
  </w:style>
  <w:style w:type="paragraph" w:customStyle="1" w:styleId="0D300E8BC8884EBD8A80321A78A0764F">
    <w:name w:val="0D300E8BC8884EBD8A80321A78A0764F"/>
    <w:pPr>
      <w:widowControl w:val="0"/>
      <w:jc w:val="both"/>
    </w:pPr>
    <w:rPr>
      <w:kern w:val="2"/>
      <w:sz w:val="21"/>
      <w:szCs w:val="22"/>
    </w:rPr>
  </w:style>
  <w:style w:type="paragraph" w:customStyle="1" w:styleId="A0F7A561D771482C9B76A384459B5920">
    <w:name w:val="A0F7A561D771482C9B76A384459B5920"/>
    <w:pPr>
      <w:widowControl w:val="0"/>
      <w:jc w:val="both"/>
    </w:pPr>
    <w:rPr>
      <w:kern w:val="2"/>
      <w:sz w:val="21"/>
      <w:szCs w:val="22"/>
    </w:rPr>
  </w:style>
  <w:style w:type="paragraph" w:customStyle="1" w:styleId="1E11AA381CAA41E7AE1E8A726AB6049E">
    <w:name w:val="1E11AA381CAA41E7AE1E8A726AB6049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高顿财经  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4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C50DAA7-1E9B-47F6-8627-104299E2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787</Words>
  <Characters>4490</Characters>
  <Application>Microsoft Office Word</Application>
  <DocSecurity>0</DocSecurity>
  <Lines>37</Lines>
  <Paragraphs>10</Paragraphs>
  <ScaleCrop>false</ScaleCrop>
  <Company>学服：021-51210513  咨询：400-600-8011  邮箱：cfa@gaodun.cn  网站：cfa.gaodun.cn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梁文伯</cp:lastModifiedBy>
  <cp:revision>19</cp:revision>
  <cp:lastPrinted>2018-01-22T05:27:00Z</cp:lastPrinted>
  <dcterms:created xsi:type="dcterms:W3CDTF">2014-07-10T01:56:00Z</dcterms:created>
  <dcterms:modified xsi:type="dcterms:W3CDTF">2018-01-22T05:27:00Z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