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7A1" w:rsidRDefault="00B603E6">
      <w:pPr>
        <w:jc w:val="center"/>
        <w:rPr>
          <w:sz w:val="28"/>
          <w:szCs w:val="28"/>
        </w:rPr>
      </w:pPr>
      <w:r>
        <w:rPr>
          <w:sz w:val="28"/>
          <w:szCs w:val="28"/>
        </w:rPr>
        <w:t>Quantitative Method</w:t>
      </w:r>
    </w:p>
    <w:p w:rsidR="00AC57A1" w:rsidRDefault="00AC57A1">
      <w:pPr>
        <w:rPr>
          <w:sz w:val="23"/>
          <w:szCs w:val="23"/>
        </w:rPr>
      </w:pPr>
    </w:p>
    <w:p w:rsidR="00AC57A1" w:rsidRDefault="00B603E6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1</w:t>
      </w:r>
      <w:r>
        <w:rPr>
          <w:sz w:val="23"/>
          <w:szCs w:val="23"/>
        </w:rPr>
        <w:t xml:space="preserve">. A </w:t>
      </w:r>
      <w:proofErr w:type="gramStart"/>
      <w:r>
        <w:rPr>
          <w:sz w:val="23"/>
          <w:szCs w:val="23"/>
        </w:rPr>
        <w:t>24 year old</w:t>
      </w:r>
      <w:proofErr w:type="gramEnd"/>
      <w:r>
        <w:rPr>
          <w:sz w:val="23"/>
          <w:szCs w:val="23"/>
        </w:rPr>
        <w:t xml:space="preserve"> is using the following information to plan her retirement:</w:t>
      </w:r>
    </w:p>
    <w:p w:rsidR="00AC57A1" w:rsidRDefault="00044F6E">
      <w:p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22400" behindDoc="0" locked="0" layoutInCell="1" allowOverlap="1" wp14:anchorId="482CF261" wp14:editId="51733C95">
            <wp:simplePos x="0" y="0"/>
            <wp:positionH relativeFrom="column">
              <wp:posOffset>4711944</wp:posOffset>
            </wp:positionH>
            <wp:positionV relativeFrom="paragraph">
              <wp:posOffset>32190</wp:posOffset>
            </wp:positionV>
            <wp:extent cx="1293495" cy="1233805"/>
            <wp:effectExtent l="0" t="0" r="1905" b="4445"/>
            <wp:wrapNone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03E6">
        <w:rPr>
          <w:sz w:val="23"/>
          <w:szCs w:val="23"/>
        </w:rPr>
        <w:t>Current age           24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Expected retirement age                    68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 xml:space="preserve">Life expectancy  </w:t>
      </w:r>
      <w:r>
        <w:rPr>
          <w:sz w:val="23"/>
          <w:szCs w:val="23"/>
        </w:rPr>
        <w:t xml:space="preserve">                         93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Current annual expenditures    $30,000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 xml:space="preserve">Expected inflation rate of 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Current expenditures until retirement     3%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Expected return on investment               8%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 xml:space="preserve">She assumes her consumption expenditures will increase with the rate </w:t>
      </w:r>
      <w:r>
        <w:rPr>
          <w:sz w:val="23"/>
          <w:szCs w:val="23"/>
        </w:rPr>
        <w:t xml:space="preserve">of inflation, 3 percent, until she retires. Upon retiring she will have end-of-year expenditures equal to her consumption expenditure at age 68. The minimum amount that she must accumulate by age 68 in </w:t>
      </w:r>
      <w:proofErr w:type="spellStart"/>
      <w:r>
        <w:rPr>
          <w:sz w:val="23"/>
          <w:szCs w:val="23"/>
        </w:rPr>
        <w:t>orderto</w:t>
      </w:r>
      <w:proofErr w:type="spellEnd"/>
      <w:r>
        <w:rPr>
          <w:sz w:val="23"/>
          <w:szCs w:val="23"/>
        </w:rPr>
        <w:t xml:space="preserve"> fund her retirement is closest to:</w:t>
      </w:r>
    </w:p>
    <w:p w:rsidR="00AC57A1" w:rsidRDefault="00B603E6">
      <w:pPr>
        <w:tabs>
          <w:tab w:val="left" w:pos="1980"/>
        </w:tabs>
        <w:rPr>
          <w:sz w:val="23"/>
          <w:szCs w:val="23"/>
        </w:rPr>
      </w:pPr>
      <w:r>
        <w:rPr>
          <w:sz w:val="23"/>
          <w:szCs w:val="23"/>
        </w:rPr>
        <w:t>A. $928,000</w:t>
      </w:r>
      <w:r>
        <w:rPr>
          <w:sz w:val="23"/>
          <w:szCs w:val="23"/>
        </w:rPr>
        <w:t>.</w:t>
      </w:r>
      <w:r>
        <w:rPr>
          <w:sz w:val="23"/>
          <w:szCs w:val="23"/>
        </w:rPr>
        <w:tab/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B. $1,176,000.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C. $1,552,000.</w:t>
      </w:r>
    </w:p>
    <w:p w:rsidR="00AC57A1" w:rsidRDefault="00AC57A1">
      <w:pPr>
        <w:rPr>
          <w:b/>
          <w:sz w:val="23"/>
          <w:szCs w:val="23"/>
        </w:rPr>
      </w:pPr>
    </w:p>
    <w:p w:rsidR="00AC57A1" w:rsidRDefault="00B603E6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Answer: B</w:t>
      </w:r>
    </w:p>
    <w:p w:rsidR="00AC57A1" w:rsidRDefault="00B603E6">
      <w:pPr>
        <w:rPr>
          <w:b/>
          <w:sz w:val="23"/>
          <w:szCs w:val="23"/>
        </w:rPr>
      </w:pPr>
      <w:r>
        <w:rPr>
          <w:sz w:val="23"/>
          <w:szCs w:val="23"/>
        </w:rPr>
        <w:t>Her consumption spending (currently $30,000 annually) increases with the rate of inflation (3%) over the next 44 years until she retires. Her annual consumption spending at the time she retires will be $110,143.5</w:t>
      </w:r>
      <w:r>
        <w:rPr>
          <w:sz w:val="23"/>
          <w:szCs w:val="23"/>
        </w:rPr>
        <w:t xml:space="preserve">7 (PV = 30,000, %I = 3, N = 44, solve for FV). To support that level of spending for 25 years of retirement assuming an 8% return on her retirement account, she must accumulate $1,175,756 by her retirement date (PMT = 110,143.57, N = 25, %I = 8, solve for </w:t>
      </w:r>
      <w:r>
        <w:rPr>
          <w:sz w:val="23"/>
          <w:szCs w:val="23"/>
        </w:rPr>
        <w:t>PV).</w:t>
      </w:r>
    </w:p>
    <w:p w:rsidR="00AC57A1" w:rsidRDefault="00AC57A1">
      <w:pPr>
        <w:rPr>
          <w:b/>
          <w:sz w:val="23"/>
          <w:szCs w:val="23"/>
        </w:rPr>
      </w:pPr>
    </w:p>
    <w:p w:rsidR="00AC57A1" w:rsidRDefault="00AC57A1">
      <w:pPr>
        <w:rPr>
          <w:b/>
          <w:sz w:val="23"/>
          <w:szCs w:val="23"/>
        </w:rPr>
      </w:pPr>
    </w:p>
    <w:p w:rsidR="00AC57A1" w:rsidRDefault="00B603E6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.A graphic depiction of a continuous distribution that shows the left tail to be longer than the right tail is best described as having: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lepto</w:t>
      </w:r>
      <w:proofErr w:type="spellEnd"/>
      <w:r>
        <w:rPr>
          <w:sz w:val="23"/>
          <w:szCs w:val="23"/>
        </w:rPr>
        <w:t>-kurtosis.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B. positive skewness.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C. negative skewness.</w:t>
      </w:r>
    </w:p>
    <w:p w:rsidR="00AC57A1" w:rsidRDefault="00AC57A1">
      <w:pPr>
        <w:rPr>
          <w:sz w:val="23"/>
          <w:szCs w:val="23"/>
        </w:rPr>
      </w:pPr>
    </w:p>
    <w:p w:rsidR="00AC57A1" w:rsidRDefault="00B603E6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Answer: </w:t>
      </w:r>
      <w:r>
        <w:rPr>
          <w:rFonts w:hint="eastAsia"/>
          <w:b/>
          <w:bCs/>
          <w:sz w:val="23"/>
          <w:szCs w:val="23"/>
        </w:rPr>
        <w:t>C</w:t>
      </w:r>
    </w:p>
    <w:p w:rsidR="00AC57A1" w:rsidRDefault="00B603E6">
      <w:pPr>
        <w:jc w:val="left"/>
        <w:rPr>
          <w:sz w:val="23"/>
          <w:szCs w:val="23"/>
        </w:rPr>
      </w:pPr>
      <w:r>
        <w:rPr>
          <w:sz w:val="22"/>
        </w:rPr>
        <w:t xml:space="preserve">A negatively skewed distribution </w:t>
      </w:r>
      <w:r>
        <w:rPr>
          <w:sz w:val="22"/>
        </w:rPr>
        <w:t>appears as if the left tail has been pulled away from the mean.</w:t>
      </w:r>
    </w:p>
    <w:p w:rsidR="00AC57A1" w:rsidRDefault="00AC57A1">
      <w:pPr>
        <w:rPr>
          <w:sz w:val="23"/>
          <w:szCs w:val="23"/>
        </w:rPr>
      </w:pPr>
    </w:p>
    <w:p w:rsidR="00AC57A1" w:rsidRDefault="00AC57A1">
      <w:pPr>
        <w:rPr>
          <w:sz w:val="23"/>
          <w:szCs w:val="23"/>
        </w:rPr>
      </w:pPr>
    </w:p>
    <w:p w:rsidR="00AC57A1" w:rsidRDefault="00B603E6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3</w:t>
      </w:r>
      <w:r>
        <w:rPr>
          <w:sz w:val="23"/>
          <w:szCs w:val="23"/>
        </w:rPr>
        <w:t>. The manager of a pension fund determines that during the past five years 85 percent of the stocks in the portfolio have paid a dividend and 40 percent of the stocks have announced a stock</w:t>
      </w:r>
      <w:r>
        <w:rPr>
          <w:sz w:val="23"/>
          <w:szCs w:val="23"/>
        </w:rPr>
        <w:t xml:space="preserve"> split. If 95 percent of the stocks have paid a dividend and/or announced a stock split, the joint probability of a stock paying a dividend and announcing a stock split is closest to:</w:t>
      </w:r>
    </w:p>
    <w:p w:rsidR="00AC57A1" w:rsidRDefault="00044F6E">
      <w:p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27520" behindDoc="0" locked="0" layoutInCell="1" allowOverlap="1" wp14:anchorId="2032B74D" wp14:editId="4CE7FB9E">
            <wp:simplePos x="0" y="0"/>
            <wp:positionH relativeFrom="column">
              <wp:posOffset>5176276</wp:posOffset>
            </wp:positionH>
            <wp:positionV relativeFrom="paragraph">
              <wp:posOffset>101062</wp:posOffset>
            </wp:positionV>
            <wp:extent cx="1217295" cy="1160145"/>
            <wp:effectExtent l="0" t="0" r="1905" b="1905"/>
            <wp:wrapNone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3E6">
        <w:rPr>
          <w:sz w:val="23"/>
          <w:szCs w:val="23"/>
        </w:rPr>
        <w:t>A. 30%.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B. 45%.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C. 55%.</w:t>
      </w:r>
    </w:p>
    <w:p w:rsidR="00AC57A1" w:rsidRDefault="00AC57A1">
      <w:pPr>
        <w:rPr>
          <w:sz w:val="23"/>
          <w:szCs w:val="23"/>
        </w:rPr>
      </w:pPr>
    </w:p>
    <w:p w:rsidR="00AC57A1" w:rsidRDefault="00B603E6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Answer: A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 xml:space="preserve">The probability that at least one of </w:t>
      </w:r>
      <w:r>
        <w:rPr>
          <w:sz w:val="23"/>
          <w:szCs w:val="23"/>
        </w:rPr>
        <w:t xml:space="preserve">two events will occur is the sum of the probabilities of the separate events less the joint probability of the two events. </w:t>
      </w:r>
      <w:proofErr w:type="gramStart"/>
      <w:r>
        <w:rPr>
          <w:sz w:val="23"/>
          <w:szCs w:val="23"/>
        </w:rPr>
        <w:t>P(</w:t>
      </w:r>
      <w:proofErr w:type="gramEnd"/>
      <w:r>
        <w:rPr>
          <w:sz w:val="23"/>
          <w:szCs w:val="23"/>
        </w:rPr>
        <w:t xml:space="preserve">A or B) = P(A) + P(B) – P(AB) 95% = 85% + 40% – P(AB); therefore P(AB) = 30% </w:t>
      </w:r>
    </w:p>
    <w:p w:rsidR="00AC57A1" w:rsidRDefault="00AC57A1">
      <w:pPr>
        <w:rPr>
          <w:sz w:val="23"/>
          <w:szCs w:val="23"/>
        </w:rPr>
      </w:pPr>
    </w:p>
    <w:p w:rsidR="00AC57A1" w:rsidRDefault="00AC57A1">
      <w:pPr>
        <w:rPr>
          <w:sz w:val="23"/>
          <w:szCs w:val="23"/>
        </w:rPr>
      </w:pPr>
    </w:p>
    <w:p w:rsidR="00AC57A1" w:rsidRDefault="00B603E6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4</w:t>
      </w:r>
      <w:r>
        <w:rPr>
          <w:sz w:val="23"/>
          <w:szCs w:val="23"/>
        </w:rPr>
        <w:t>. A portfolio manager gathers the following inform</w:t>
      </w:r>
      <w:r>
        <w:rPr>
          <w:sz w:val="23"/>
          <w:szCs w:val="23"/>
        </w:rPr>
        <w:t>ation about three possible asset allocations:</w:t>
      </w:r>
    </w:p>
    <w:p w:rsidR="00AC57A1" w:rsidRDefault="00B603E6">
      <w:pPr>
        <w:ind w:firstLineChars="100" w:firstLine="230"/>
        <w:rPr>
          <w:sz w:val="23"/>
          <w:szCs w:val="23"/>
        </w:rPr>
      </w:pPr>
      <w:r>
        <w:rPr>
          <w:sz w:val="23"/>
          <w:szCs w:val="23"/>
        </w:rPr>
        <w:t>Allocation      Expected annual return      Standard deviation of return</w:t>
      </w:r>
    </w:p>
    <w:p w:rsidR="00AC57A1" w:rsidRDefault="00B603E6">
      <w:pPr>
        <w:ind w:firstLineChars="250" w:firstLine="575"/>
        <w:rPr>
          <w:sz w:val="23"/>
          <w:szCs w:val="23"/>
        </w:rPr>
      </w:pPr>
      <w:r>
        <w:rPr>
          <w:sz w:val="23"/>
          <w:szCs w:val="23"/>
        </w:rPr>
        <w:t>I13%                      6%</w:t>
      </w:r>
    </w:p>
    <w:p w:rsidR="00AC57A1" w:rsidRDefault="00B603E6">
      <w:pPr>
        <w:ind w:firstLineChars="250" w:firstLine="575"/>
        <w:rPr>
          <w:sz w:val="23"/>
          <w:szCs w:val="23"/>
        </w:rPr>
      </w:pPr>
      <w:r>
        <w:rPr>
          <w:sz w:val="23"/>
          <w:szCs w:val="23"/>
        </w:rPr>
        <w:t>II                 26%                      14%</w:t>
      </w:r>
    </w:p>
    <w:p w:rsidR="00AC57A1" w:rsidRDefault="00B603E6">
      <w:pPr>
        <w:ind w:firstLineChars="250" w:firstLine="575"/>
        <w:rPr>
          <w:sz w:val="23"/>
          <w:szCs w:val="23"/>
        </w:rPr>
      </w:pPr>
      <w:r>
        <w:rPr>
          <w:sz w:val="23"/>
          <w:szCs w:val="23"/>
        </w:rPr>
        <w:t>III                 32%                    20%</w:t>
      </w:r>
    </w:p>
    <w:p w:rsidR="00AC57A1" w:rsidRDefault="00044F6E">
      <w:p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455A6DD4" wp14:editId="5B7E61FA">
            <wp:simplePos x="0" y="0"/>
            <wp:positionH relativeFrom="column">
              <wp:posOffset>5258093</wp:posOffset>
            </wp:positionH>
            <wp:positionV relativeFrom="paragraph">
              <wp:posOffset>256784</wp:posOffset>
            </wp:positionV>
            <wp:extent cx="1153551" cy="1055077"/>
            <wp:effectExtent l="0" t="0" r="0" b="0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551" cy="10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3E6">
        <w:rPr>
          <w:sz w:val="23"/>
          <w:szCs w:val="23"/>
        </w:rPr>
        <w:t>The manager’s</w:t>
      </w:r>
      <w:r w:rsidR="00B603E6">
        <w:rPr>
          <w:sz w:val="23"/>
          <w:szCs w:val="23"/>
        </w:rPr>
        <w:t xml:space="preserve"> client has stated that her minimum acceptable return is 8 percent. Based on Roy’s safety-first criterion, the most appropriate allocation is:</w:t>
      </w:r>
    </w:p>
    <w:p w:rsidR="00AC57A1" w:rsidRDefault="00B603E6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A.</w:t>
      </w:r>
      <w:proofErr w:type="gramEnd"/>
      <w:r>
        <w:rPr>
          <w:sz w:val="23"/>
          <w:szCs w:val="23"/>
        </w:rPr>
        <w:t xml:space="preserve"> I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B. II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C. III</w:t>
      </w:r>
    </w:p>
    <w:p w:rsidR="00AC57A1" w:rsidRDefault="00AC57A1">
      <w:pPr>
        <w:rPr>
          <w:sz w:val="23"/>
          <w:szCs w:val="23"/>
        </w:rPr>
      </w:pPr>
    </w:p>
    <w:p w:rsidR="00AC57A1" w:rsidRDefault="00B603E6">
      <w:pPr>
        <w:rPr>
          <w:sz w:val="23"/>
          <w:szCs w:val="23"/>
        </w:rPr>
      </w:pPr>
      <w:r>
        <w:rPr>
          <w:b/>
          <w:bCs/>
          <w:sz w:val="23"/>
          <w:szCs w:val="23"/>
        </w:rPr>
        <w:t>Answer: B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Roy’s safety-first ratio = [</w:t>
      </w:r>
      <w:r>
        <w:rPr>
          <w:i/>
          <w:iCs/>
          <w:sz w:val="23"/>
          <w:szCs w:val="23"/>
        </w:rPr>
        <w:t>E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R</w:t>
      </w:r>
      <w:r>
        <w:rPr>
          <w:i/>
          <w:iCs/>
          <w:sz w:val="23"/>
          <w:szCs w:val="23"/>
          <w:vertAlign w:val="subscript"/>
        </w:rPr>
        <w:t>P</w:t>
      </w:r>
      <w:r>
        <w:rPr>
          <w:sz w:val="23"/>
          <w:szCs w:val="23"/>
        </w:rPr>
        <w:t xml:space="preserve">) – </w:t>
      </w:r>
      <w:r>
        <w:rPr>
          <w:i/>
          <w:iCs/>
          <w:sz w:val="23"/>
          <w:szCs w:val="23"/>
        </w:rPr>
        <w:t>R</w:t>
      </w:r>
      <w:r>
        <w:rPr>
          <w:i/>
          <w:iCs/>
          <w:sz w:val="23"/>
          <w:szCs w:val="23"/>
          <w:vertAlign w:val="subscript"/>
        </w:rPr>
        <w:t>L</w:t>
      </w:r>
      <w:r>
        <w:rPr>
          <w:sz w:val="23"/>
          <w:szCs w:val="23"/>
        </w:rPr>
        <w:t xml:space="preserve">] / </w:t>
      </w:r>
      <w:proofErr w:type="spellStart"/>
      <w:r>
        <w:rPr>
          <w:sz w:val="23"/>
          <w:szCs w:val="23"/>
        </w:rPr>
        <w:t>σ</w:t>
      </w:r>
      <w:r>
        <w:rPr>
          <w:i/>
          <w:iCs/>
          <w:sz w:val="23"/>
          <w:szCs w:val="23"/>
          <w:vertAlign w:val="subscript"/>
        </w:rPr>
        <w:t>P</w:t>
      </w:r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the optimal portfolio having the highest ratio. The safety-first ratios for the three allocations are: 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 xml:space="preserve">       Allocation      Safety-first ratio </w:t>
      </w:r>
    </w:p>
    <w:p w:rsidR="00AC57A1" w:rsidRDefault="00B603E6">
      <w:pPr>
        <w:ind w:firstLineChars="500" w:firstLine="1150"/>
        <w:jc w:val="left"/>
        <w:rPr>
          <w:sz w:val="23"/>
          <w:szCs w:val="23"/>
        </w:rPr>
      </w:pPr>
      <w:r>
        <w:rPr>
          <w:sz w:val="23"/>
          <w:szCs w:val="23"/>
        </w:rPr>
        <w:t>I               0.83</w:t>
      </w:r>
    </w:p>
    <w:p w:rsidR="00AC57A1" w:rsidRDefault="00B603E6">
      <w:pPr>
        <w:ind w:firstLineChars="500" w:firstLine="1150"/>
        <w:jc w:val="left"/>
        <w:rPr>
          <w:sz w:val="23"/>
          <w:szCs w:val="23"/>
        </w:rPr>
      </w:pPr>
      <w:r>
        <w:rPr>
          <w:sz w:val="23"/>
          <w:szCs w:val="23"/>
        </w:rPr>
        <w:t>II              1.29</w:t>
      </w:r>
    </w:p>
    <w:p w:rsidR="00AC57A1" w:rsidRDefault="00B603E6">
      <w:pPr>
        <w:ind w:firstLineChars="500" w:firstLine="1150"/>
        <w:jc w:val="left"/>
        <w:rPr>
          <w:sz w:val="23"/>
          <w:szCs w:val="23"/>
        </w:rPr>
      </w:pPr>
      <w:r>
        <w:rPr>
          <w:sz w:val="23"/>
          <w:szCs w:val="23"/>
        </w:rPr>
        <w:t>III              1.20</w:t>
      </w:r>
    </w:p>
    <w:p w:rsidR="00AC57A1" w:rsidRDefault="00AC57A1">
      <w:pPr>
        <w:rPr>
          <w:sz w:val="23"/>
          <w:szCs w:val="23"/>
        </w:rPr>
      </w:pPr>
    </w:p>
    <w:p w:rsidR="00AC57A1" w:rsidRDefault="00AC57A1">
      <w:pPr>
        <w:rPr>
          <w:sz w:val="23"/>
          <w:szCs w:val="23"/>
        </w:rPr>
      </w:pPr>
    </w:p>
    <w:p w:rsidR="00AC57A1" w:rsidRDefault="00B603E6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5</w:t>
      </w:r>
      <w:r>
        <w:rPr>
          <w:sz w:val="23"/>
          <w:szCs w:val="23"/>
        </w:rPr>
        <w:t xml:space="preserve">. A sample of 100 observations drawn </w:t>
      </w:r>
      <w:r>
        <w:rPr>
          <w:sz w:val="23"/>
          <w:szCs w:val="23"/>
        </w:rPr>
        <w:t>from a normally distributed population has a sample mean of 12 and a sample standard deviation of 4. Using the extract from the z-distribution given below, find the 95% confidence interval for the population mean. The 95% confidence interval is closest to:</w:t>
      </w:r>
    </w:p>
    <w:p w:rsidR="00AC57A1" w:rsidRDefault="00B603E6">
      <w:pPr>
        <w:autoSpaceDE w:val="0"/>
        <w:autoSpaceDN w:val="0"/>
        <w:adjustRightInd w:val="0"/>
        <w:jc w:val="center"/>
        <w:rPr>
          <w:rFonts w:cs="Calibri"/>
          <w:color w:val="000000"/>
          <w:kern w:val="0"/>
          <w:sz w:val="22"/>
        </w:rPr>
      </w:pPr>
      <w:r>
        <w:rPr>
          <w:rFonts w:cs="Calibri"/>
          <w:b/>
          <w:bCs/>
          <w:color w:val="000000"/>
          <w:kern w:val="0"/>
          <w:sz w:val="22"/>
        </w:rPr>
        <w:t>Cumulative Probabilities for a Standard Normal Distribution</w:t>
      </w:r>
    </w:p>
    <w:p w:rsidR="00AC57A1" w:rsidRDefault="00B603E6">
      <w:pPr>
        <w:jc w:val="center"/>
        <w:rPr>
          <w:rFonts w:cs="Calibri"/>
          <w:b/>
          <w:bCs/>
          <w:color w:val="000000"/>
          <w:kern w:val="0"/>
          <w:sz w:val="22"/>
        </w:rPr>
      </w:pPr>
      <w:proofErr w:type="gramStart"/>
      <w:r>
        <w:rPr>
          <w:rFonts w:cs="Calibri"/>
          <w:b/>
          <w:bCs/>
          <w:color w:val="000000"/>
          <w:kern w:val="0"/>
          <w:sz w:val="22"/>
        </w:rPr>
        <w:t>P(</w:t>
      </w:r>
      <w:proofErr w:type="gramEnd"/>
      <w:r>
        <w:rPr>
          <w:rFonts w:cs="Calibri"/>
          <w:b/>
          <w:bCs/>
          <w:color w:val="000000"/>
          <w:kern w:val="0"/>
          <w:sz w:val="22"/>
        </w:rPr>
        <w:t>Z ≤ x) = N(x) for x ≥ 0 or P(Z ≤ z) = N(z) for z ≥ 0</w:t>
      </w:r>
    </w:p>
    <w:tbl>
      <w:tblPr>
        <w:tblW w:w="937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AC57A1">
        <w:trPr>
          <w:trHeight w:val="126"/>
        </w:trPr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x or z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0.01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0.02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.05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.06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.07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.08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.09 </w:t>
            </w:r>
          </w:p>
        </w:tc>
      </w:tr>
      <w:tr w:rsidR="00AC57A1">
        <w:trPr>
          <w:trHeight w:val="126"/>
        </w:trPr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1.5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0.9332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0.9345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0.9357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0.9370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0.9382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0.9394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0.9406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0.9418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0.9429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0.9441 </w:t>
            </w:r>
          </w:p>
        </w:tc>
      </w:tr>
      <w:tr w:rsidR="00AC57A1">
        <w:trPr>
          <w:trHeight w:val="126"/>
        </w:trPr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1.6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0.9452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0.9463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0.9474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0.9484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0.9495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0.9505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0.9515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0.9525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0.9535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0.9545 </w:t>
            </w:r>
          </w:p>
        </w:tc>
      </w:tr>
      <w:tr w:rsidR="00AC57A1">
        <w:trPr>
          <w:trHeight w:val="126"/>
        </w:trPr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1.7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0.9554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0.9564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0.9573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0.9582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0.9591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0.9599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0.9608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0.9616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0.9625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0.9633 </w:t>
            </w:r>
          </w:p>
        </w:tc>
      </w:tr>
      <w:tr w:rsidR="00AC57A1">
        <w:trPr>
          <w:trHeight w:val="126"/>
        </w:trPr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1.8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0.9641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0.9649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0.9656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0.9664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0.9671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0.9678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0.9686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0.9693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0.9699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0.9706 </w:t>
            </w:r>
          </w:p>
        </w:tc>
      </w:tr>
      <w:tr w:rsidR="00AC57A1">
        <w:trPr>
          <w:trHeight w:val="126"/>
        </w:trPr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1.9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0.9713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0.9719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0.9726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0.9732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0.9738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0.9744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0.9750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0.9756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0.9761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0.9767 </w:t>
            </w:r>
          </w:p>
        </w:tc>
      </w:tr>
      <w:tr w:rsidR="00AC57A1">
        <w:trPr>
          <w:trHeight w:val="126"/>
        </w:trPr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2.0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0.9772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0.9778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0.9783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0.9788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0.9793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0.9798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0.9803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0.9808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0.9812 </w:t>
            </w:r>
          </w:p>
        </w:tc>
        <w:tc>
          <w:tcPr>
            <w:tcW w:w="852" w:type="dxa"/>
          </w:tcPr>
          <w:p w:rsidR="00AC57A1" w:rsidRDefault="00B603E6">
            <w:pPr>
              <w:autoSpaceDE w:val="0"/>
              <w:autoSpaceDN w:val="0"/>
              <w:adjustRightInd w:val="0"/>
              <w:jc w:val="left"/>
              <w:rPr>
                <w:rFonts w:cs="Calibri"/>
                <w:color w:val="000000"/>
                <w:kern w:val="0"/>
                <w:sz w:val="22"/>
              </w:rPr>
            </w:pPr>
            <w:r>
              <w:rPr>
                <w:rFonts w:cs="Calibri"/>
                <w:color w:val="000000"/>
                <w:kern w:val="0"/>
                <w:sz w:val="22"/>
              </w:rPr>
              <w:t xml:space="preserve">0.9817 </w:t>
            </w:r>
          </w:p>
        </w:tc>
      </w:tr>
    </w:tbl>
    <w:p w:rsidR="00AC57A1" w:rsidRDefault="00044F6E">
      <w:p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3F81F0" wp14:editId="1A81ADF5">
            <wp:simplePos x="0" y="0"/>
            <wp:positionH relativeFrom="column">
              <wp:posOffset>5497097</wp:posOffset>
            </wp:positionH>
            <wp:positionV relativeFrom="paragraph">
              <wp:posOffset>167836</wp:posOffset>
            </wp:positionV>
            <wp:extent cx="1217295" cy="1160145"/>
            <wp:effectExtent l="0" t="0" r="1905" b="1905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3E6">
        <w:rPr>
          <w:sz w:val="23"/>
          <w:szCs w:val="23"/>
        </w:rPr>
        <w:t>A. 7.840 to 27.683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B. 11.216 to 12.784</w:t>
      </w:r>
    </w:p>
    <w:p w:rsidR="00AC57A1" w:rsidRDefault="00B603E6">
      <w:pPr>
        <w:rPr>
          <w:sz w:val="23"/>
          <w:szCs w:val="23"/>
        </w:rPr>
      </w:pPr>
      <w:r>
        <w:rPr>
          <w:sz w:val="23"/>
          <w:szCs w:val="23"/>
        </w:rPr>
        <w:t>C. 11.340 to 12.660</w:t>
      </w: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B603E6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Answer </w:t>
      </w:r>
      <w:r>
        <w:rPr>
          <w:b/>
          <w:bCs/>
          <w:sz w:val="23"/>
          <w:szCs w:val="23"/>
        </w:rPr>
        <w:t>= B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The 95% confidence interval uses </w:t>
      </w:r>
      <w:r>
        <w:rPr>
          <w:i/>
          <w:iCs/>
          <w:sz w:val="23"/>
          <w:szCs w:val="23"/>
        </w:rPr>
        <w:t>z</w:t>
      </w:r>
      <w:r>
        <w:rPr>
          <w:sz w:val="23"/>
          <w:szCs w:val="23"/>
          <w:vertAlign w:val="subscript"/>
        </w:rPr>
        <w:t>0.025</w:t>
      </w:r>
      <w:r>
        <w:rPr>
          <w:sz w:val="23"/>
          <w:szCs w:val="23"/>
        </w:rPr>
        <w:t xml:space="preserve"> as the reliability factor. The cumulative probability value closest to 0.975 provides the appropriate value of </w:t>
      </w:r>
      <w:r>
        <w:rPr>
          <w:i/>
          <w:iCs/>
          <w:sz w:val="23"/>
          <w:szCs w:val="23"/>
        </w:rPr>
        <w:t>z</w:t>
      </w:r>
      <w:r>
        <w:rPr>
          <w:sz w:val="23"/>
          <w:szCs w:val="23"/>
          <w:vertAlign w:val="subscript"/>
        </w:rPr>
        <w:t>0.025</w:t>
      </w:r>
      <w:r>
        <w:rPr>
          <w:sz w:val="23"/>
          <w:szCs w:val="23"/>
        </w:rPr>
        <w:t xml:space="preserve"> which is </w:t>
      </w:r>
      <w:r>
        <w:rPr>
          <w:i/>
          <w:iCs/>
          <w:sz w:val="23"/>
          <w:szCs w:val="23"/>
        </w:rPr>
        <w:t>z</w:t>
      </w:r>
      <w:r>
        <w:rPr>
          <w:sz w:val="23"/>
          <w:szCs w:val="23"/>
          <w:vertAlign w:val="subscript"/>
        </w:rPr>
        <w:t>0.025</w:t>
      </w:r>
      <w:r>
        <w:rPr>
          <w:sz w:val="23"/>
          <w:szCs w:val="23"/>
        </w:rPr>
        <w:t xml:space="preserve"> = 1.96. The confidence interval is formed as:</w:t>
      </w:r>
      <m:oMath>
        <m:r>
          <m:rPr>
            <m:nor/>
          </m:rPr>
          <w:rPr>
            <w:position w:val="-28"/>
            <w:sz w:val="22"/>
          </w:rPr>
          <w:object w:dxaOrig="1410" w:dyaOrig="9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0.9pt;height:45.4pt" o:ole="">
              <v:imagedata r:id="rId12" o:title=""/>
            </v:shape>
            <o:OLEObject Type="Embed" ProgID="Equation.DSMT4" ShapeID="_x0000_i1025" DrawAspect="Content" ObjectID="_1578127629" r:id="rId13"/>
          </w:object>
        </m:r>
      </m:oMath>
      <w:r>
        <w:rPr>
          <w:sz w:val="23"/>
          <w:szCs w:val="23"/>
        </w:rPr>
        <w:t xml:space="preserve"> . In this problem, 12 ± 1.96 × (4 / √100) = 12 ± 1.96 × 0.4. </w:t>
      </w:r>
      <w:proofErr w:type="gramStart"/>
      <w:r>
        <w:rPr>
          <w:sz w:val="23"/>
          <w:szCs w:val="23"/>
        </w:rPr>
        <w:t>Thus</w:t>
      </w:r>
      <w:proofErr w:type="gramEnd"/>
      <w:r>
        <w:rPr>
          <w:sz w:val="23"/>
          <w:szCs w:val="23"/>
        </w:rPr>
        <w:t xml:space="preserve"> the confidence interval spans 11.216 to 12.784.</w:t>
      </w: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044F6E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3EA6734" wp14:editId="176F6C7C">
            <wp:simplePos x="0" y="0"/>
            <wp:positionH relativeFrom="column">
              <wp:posOffset>5497243</wp:posOffset>
            </wp:positionH>
            <wp:positionV relativeFrom="paragraph">
              <wp:posOffset>667971</wp:posOffset>
            </wp:positionV>
            <wp:extent cx="885532" cy="839909"/>
            <wp:effectExtent l="0" t="0" r="0" b="0"/>
            <wp:wrapNone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32" cy="83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3E6">
        <w:rPr>
          <w:rFonts w:hint="eastAsia"/>
          <w:sz w:val="23"/>
          <w:szCs w:val="23"/>
        </w:rPr>
        <w:t>6</w:t>
      </w:r>
      <w:r w:rsidR="00B603E6">
        <w:rPr>
          <w:sz w:val="23"/>
          <w:szCs w:val="23"/>
        </w:rPr>
        <w:t>. Using the sample results given below, drawn as 25 paired observations from their underlying distributions, test if the mean returns of t</w:t>
      </w:r>
      <w:r w:rsidR="00B603E6">
        <w:rPr>
          <w:sz w:val="23"/>
          <w:szCs w:val="23"/>
        </w:rPr>
        <w:t>he two portfolios differ from each other at the 1% level of statistical significance. Assume the underlying distributions of returns for each portfolio are normal and that their population variances are not known.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                        Portfolio 1      P</w:t>
      </w:r>
      <w:r>
        <w:rPr>
          <w:sz w:val="23"/>
          <w:szCs w:val="23"/>
        </w:rPr>
        <w:t>ortfolio 2      Difference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Mean Return               17.00         21.25            4.25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Standard Deviation          15.50         15.75            6.25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t-statistic for 24 </w:t>
      </w:r>
      <w:proofErr w:type="spellStart"/>
      <w:r>
        <w:rPr>
          <w:sz w:val="23"/>
          <w:szCs w:val="23"/>
        </w:rPr>
        <w:t>df</w:t>
      </w:r>
      <w:proofErr w:type="spellEnd"/>
      <w:r>
        <w:rPr>
          <w:sz w:val="23"/>
          <w:szCs w:val="23"/>
        </w:rPr>
        <w:t xml:space="preserve"> and at the 1% level of statistical significance = 2.807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Based on the paired compa</w:t>
      </w:r>
      <w:r>
        <w:rPr>
          <w:sz w:val="23"/>
          <w:szCs w:val="23"/>
        </w:rPr>
        <w:t>risons test of the two portfolios, the most appropriate conclusion is: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A. reject the hypothesis that the mean difference equals zero as the computed test statistic exceeds 2.807.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B. accept the hypothesis that the mean difference equals zero as the computed</w:t>
      </w:r>
      <w:r>
        <w:rPr>
          <w:sz w:val="23"/>
          <w:szCs w:val="23"/>
        </w:rPr>
        <w:t xml:space="preserve"> test statistic exceeds 2.807.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C. accept the hypothesis that the mean difference equals zero as the computed test statistic is less than 2.807.</w:t>
      </w:r>
    </w:p>
    <w:p w:rsidR="00AC57A1" w:rsidRDefault="00AC57A1">
      <w:pPr>
        <w:autoSpaceDE w:val="0"/>
        <w:autoSpaceDN w:val="0"/>
        <w:adjustRightInd w:val="0"/>
        <w:jc w:val="left"/>
        <w:rPr>
          <w:sz w:val="22"/>
        </w:rPr>
      </w:pPr>
    </w:p>
    <w:p w:rsidR="00AC57A1" w:rsidRDefault="00B603E6">
      <w:pPr>
        <w:autoSpaceDE w:val="0"/>
        <w:autoSpaceDN w:val="0"/>
        <w:adjustRightInd w:val="0"/>
        <w:rPr>
          <w:sz w:val="23"/>
          <w:szCs w:val="23"/>
        </w:rPr>
      </w:pPr>
      <w:r>
        <w:rPr>
          <w:b/>
          <w:bCs/>
          <w:sz w:val="23"/>
          <w:szCs w:val="23"/>
        </w:rPr>
        <w:t>Answer = A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The test statistic is:</w:t>
      </w:r>
      <w:bookmarkStart w:id="0" w:name="OLE_LINK2"/>
      <w:bookmarkStart w:id="1" w:name="OLE_LINK1"/>
      <m:oMath>
        <m:r>
          <m:rPr>
            <m:sty m:val="p"/>
          </m:rPr>
          <w:rPr>
            <w:rFonts w:ascii="Cambria Math" w:hAnsi="Cambria Math"/>
            <w:position w:val="-32"/>
            <w:sz w:val="23"/>
            <w:szCs w:val="23"/>
          </w:rPr>
          <w:object w:dxaOrig="1770" w:dyaOrig="1185">
            <v:shape id="_x0000_i1026" type="#_x0000_t75" style="width:88.6pt;height:58.7pt" o:ole="">
              <v:imagedata r:id="rId15" o:title=""/>
            </v:shape>
            <o:OLEObject Type="Embed" ProgID="Equation.DSMT4" ShapeID="_x0000_i1026" DrawAspect="Content" ObjectID="_1578127630" r:id="rId16"/>
          </w:object>
        </m:r>
      </m:oMath>
      <w:bookmarkEnd w:id="0"/>
      <w:bookmarkEnd w:id="1"/>
      <w:r>
        <w:rPr>
          <w:sz w:val="23"/>
          <w:szCs w:val="23"/>
        </w:rPr>
        <w:t xml:space="preserve"> , where </w:t>
      </w:r>
      <w:bookmarkStart w:id="2" w:name="OLE_LINK4"/>
      <w:bookmarkStart w:id="3" w:name="OLE_LINK3"/>
      <w:r>
        <w:rPr>
          <w:position w:val="-6"/>
        </w:rPr>
        <w:object w:dxaOrig="195" w:dyaOrig="345">
          <v:shape id="_x0000_i1027" type="#_x0000_t75" style="width:9.95pt;height:17.7pt" o:ole="">
            <v:imagedata r:id="rId17" o:title=""/>
          </v:shape>
          <o:OLEObject Type="Embed" ProgID="Equation.3" ShapeID="_x0000_i1027" DrawAspect="Content" ObjectID="_1578127631" r:id="rId18"/>
        </w:object>
      </w:r>
      <w:bookmarkEnd w:id="2"/>
      <w:bookmarkEnd w:id="3"/>
      <w:r>
        <w:rPr>
          <w:sz w:val="23"/>
          <w:szCs w:val="23"/>
        </w:rPr>
        <w:t xml:space="preserve">is the mean difference, </w:t>
      </w:r>
      <w:r>
        <w:rPr>
          <w:position w:val="-18"/>
        </w:rPr>
        <w:object w:dxaOrig="480" w:dyaOrig="465">
          <v:shape id="_x0000_i1028" type="#_x0000_t75" style="width:24.35pt;height:23.25pt" o:ole="">
            <v:imagedata r:id="rId19" o:title=""/>
          </v:shape>
          <o:OLEObject Type="Embed" ProgID="Equation.3" ShapeID="_x0000_i1028" DrawAspect="Content" ObjectID="_1578127632" r:id="rId20"/>
        </w:object>
      </w:r>
      <w:r>
        <w:rPr>
          <w:sz w:val="23"/>
          <w:szCs w:val="23"/>
        </w:rPr>
        <w:t xml:space="preserve">is the hypothesized difference in the means, </w:t>
      </w:r>
      <w:r>
        <w:rPr>
          <w:position w:val="-14"/>
        </w:rPr>
        <w:object w:dxaOrig="375" w:dyaOrig="405">
          <v:shape id="_x0000_i1029" type="#_x0000_t75" style="width:18.85pt;height:19.95pt" o:ole="">
            <v:imagedata r:id="rId21" o:title=""/>
          </v:shape>
          <o:OLEObject Type="Embed" ProgID="Equation.3" ShapeID="_x0000_i1029" DrawAspect="Content" ObjectID="_1578127633" r:id="rId22"/>
        </w:object>
      </w:r>
      <w:r>
        <w:rPr>
          <w:sz w:val="23"/>
          <w:szCs w:val="23"/>
        </w:rPr>
        <w:t xml:space="preserve">is the sample standard deviation of differences, and </w:t>
      </w:r>
      <w:r>
        <w:rPr>
          <w:position w:val="-6"/>
        </w:rPr>
        <w:object w:dxaOrig="195" w:dyaOrig="225">
          <v:shape id="_x0000_i1030" type="#_x0000_t75" style="width:9.95pt;height:11.1pt" o:ole="">
            <v:imagedata r:id="rId23" o:title=""/>
          </v:shape>
          <o:OLEObject Type="Embed" ProgID="Equation.3" ShapeID="_x0000_i1030" DrawAspect="Content" ObjectID="_1578127634" r:id="rId24"/>
        </w:object>
      </w:r>
      <w:r>
        <w:rPr>
          <w:sz w:val="23"/>
          <w:szCs w:val="23"/>
        </w:rPr>
        <w:t>is the sample size. In this case, the test statistic equals: (4.25-0)</w:t>
      </w:r>
      <w:proofErr w:type="gramStart"/>
      <w:r>
        <w:rPr>
          <w:sz w:val="23"/>
          <w:szCs w:val="23"/>
        </w:rPr>
        <w:t>/(</w:t>
      </w:r>
      <w:proofErr w:type="gramEnd"/>
      <w:r>
        <w:rPr>
          <w:sz w:val="23"/>
          <w:szCs w:val="23"/>
        </w:rPr>
        <w:t xml:space="preserve">6.25/√25)= 3.40. As 3.40 &gt; 2.807, we reject the null hypothesis that the mean difference is zero. </w:t>
      </w:r>
    </w:p>
    <w:p w:rsidR="00AC57A1" w:rsidRDefault="00AC57A1">
      <w:pPr>
        <w:autoSpaceDE w:val="0"/>
        <w:autoSpaceDN w:val="0"/>
        <w:adjustRightInd w:val="0"/>
        <w:jc w:val="left"/>
        <w:rPr>
          <w:sz w:val="22"/>
        </w:rPr>
      </w:pPr>
    </w:p>
    <w:p w:rsidR="00AC57A1" w:rsidRDefault="00AC57A1">
      <w:pPr>
        <w:autoSpaceDE w:val="0"/>
        <w:autoSpaceDN w:val="0"/>
        <w:adjustRightInd w:val="0"/>
        <w:jc w:val="left"/>
        <w:rPr>
          <w:sz w:val="22"/>
        </w:rPr>
      </w:pPr>
    </w:p>
    <w:p w:rsidR="00AC57A1" w:rsidRDefault="00B603E6">
      <w:pPr>
        <w:autoSpaceDE w:val="0"/>
        <w:autoSpaceDN w:val="0"/>
        <w:adjustRightInd w:val="0"/>
        <w:jc w:val="left"/>
        <w:rPr>
          <w:sz w:val="22"/>
        </w:rPr>
      </w:pPr>
      <w:r>
        <w:rPr>
          <w:rFonts w:hint="eastAsia"/>
          <w:sz w:val="22"/>
        </w:rPr>
        <w:t>7</w:t>
      </w:r>
      <w:r>
        <w:rPr>
          <w:sz w:val="22"/>
        </w:rPr>
        <w:t>. The joint probability of returns, for securities A and B, are as follows:</w:t>
      </w:r>
    </w:p>
    <w:p w:rsidR="00AC57A1" w:rsidRDefault="00B603E6">
      <w:pPr>
        <w:autoSpaceDE w:val="0"/>
        <w:autoSpaceDN w:val="0"/>
        <w:adjustRightInd w:val="0"/>
        <w:jc w:val="left"/>
        <w:rPr>
          <w:sz w:val="22"/>
        </w:rPr>
      </w:pPr>
      <w:r>
        <w:rPr>
          <w:sz w:val="22"/>
        </w:rPr>
        <w:t>Joint P</w:t>
      </w:r>
      <w:r>
        <w:rPr>
          <w:sz w:val="22"/>
        </w:rPr>
        <w:t>robability Function of Security A and Security B Returns</w:t>
      </w:r>
    </w:p>
    <w:p w:rsidR="00AC57A1" w:rsidRDefault="00B603E6">
      <w:pPr>
        <w:autoSpaceDE w:val="0"/>
        <w:autoSpaceDN w:val="0"/>
        <w:adjustRightInd w:val="0"/>
        <w:jc w:val="left"/>
        <w:rPr>
          <w:sz w:val="22"/>
        </w:rPr>
      </w:pPr>
      <w:r>
        <w:rPr>
          <w:sz w:val="22"/>
        </w:rPr>
        <w:t xml:space="preserve">(Entries are joint </w:t>
      </w:r>
      <w:proofErr w:type="gramStart"/>
      <w:r>
        <w:rPr>
          <w:sz w:val="22"/>
        </w:rPr>
        <w:t>probabilities)Return</w:t>
      </w:r>
      <w:proofErr w:type="gramEnd"/>
      <w:r>
        <w:rPr>
          <w:sz w:val="22"/>
        </w:rPr>
        <w:t xml:space="preserve"> on security B=30%  Return on security B=20%</w:t>
      </w:r>
    </w:p>
    <w:p w:rsidR="00AC57A1" w:rsidRDefault="00B603E6">
      <w:pPr>
        <w:autoSpaceDE w:val="0"/>
        <w:autoSpaceDN w:val="0"/>
        <w:adjustRightInd w:val="0"/>
        <w:jc w:val="left"/>
        <w:rPr>
          <w:sz w:val="22"/>
        </w:rPr>
      </w:pPr>
      <w:r>
        <w:rPr>
          <w:sz w:val="22"/>
        </w:rPr>
        <w:t>Return on security A= 25%           0.60                      0</w:t>
      </w:r>
    </w:p>
    <w:p w:rsidR="00AC57A1" w:rsidRDefault="00044F6E">
      <w:pPr>
        <w:autoSpaceDE w:val="0"/>
        <w:autoSpaceDN w:val="0"/>
        <w:adjustRightInd w:val="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D157A4C" wp14:editId="28A186EC">
            <wp:simplePos x="0" y="0"/>
            <wp:positionH relativeFrom="column">
              <wp:posOffset>5088890</wp:posOffset>
            </wp:positionH>
            <wp:positionV relativeFrom="paragraph">
              <wp:posOffset>195580</wp:posOffset>
            </wp:positionV>
            <wp:extent cx="1237615" cy="1125220"/>
            <wp:effectExtent l="0" t="0" r="0" b="0"/>
            <wp:wrapNone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3E6">
        <w:rPr>
          <w:sz w:val="22"/>
        </w:rPr>
        <w:t xml:space="preserve">Return on security A= 20%             0            </w:t>
      </w:r>
      <w:r w:rsidR="00B603E6">
        <w:rPr>
          <w:sz w:val="22"/>
        </w:rPr>
        <w:t xml:space="preserve">        0.40</w:t>
      </w:r>
    </w:p>
    <w:p w:rsidR="00AC57A1" w:rsidRDefault="00B603E6">
      <w:pPr>
        <w:autoSpaceDE w:val="0"/>
        <w:autoSpaceDN w:val="0"/>
        <w:adjustRightInd w:val="0"/>
        <w:jc w:val="left"/>
        <w:rPr>
          <w:sz w:val="22"/>
        </w:rPr>
      </w:pPr>
      <w:r>
        <w:rPr>
          <w:sz w:val="22"/>
        </w:rPr>
        <w:t>The covariance of the returns between securities A and B is closest to:</w:t>
      </w:r>
    </w:p>
    <w:p w:rsidR="00AC57A1" w:rsidRDefault="00B603E6">
      <w:pPr>
        <w:autoSpaceDE w:val="0"/>
        <w:autoSpaceDN w:val="0"/>
        <w:adjustRightInd w:val="0"/>
        <w:jc w:val="left"/>
        <w:rPr>
          <w:sz w:val="22"/>
        </w:rPr>
      </w:pPr>
      <w:r>
        <w:rPr>
          <w:sz w:val="22"/>
        </w:rPr>
        <w:t>A. 3.</w:t>
      </w:r>
    </w:p>
    <w:p w:rsidR="00AC57A1" w:rsidRDefault="00B603E6">
      <w:pPr>
        <w:autoSpaceDE w:val="0"/>
        <w:autoSpaceDN w:val="0"/>
        <w:adjustRightInd w:val="0"/>
        <w:jc w:val="left"/>
        <w:rPr>
          <w:sz w:val="22"/>
        </w:rPr>
      </w:pPr>
      <w:r>
        <w:rPr>
          <w:sz w:val="22"/>
        </w:rPr>
        <w:t>B. 12.</w:t>
      </w:r>
    </w:p>
    <w:p w:rsidR="00AC57A1" w:rsidRDefault="00B603E6">
      <w:pPr>
        <w:autoSpaceDE w:val="0"/>
        <w:autoSpaceDN w:val="0"/>
        <w:adjustRightInd w:val="0"/>
        <w:jc w:val="left"/>
        <w:rPr>
          <w:sz w:val="22"/>
        </w:rPr>
      </w:pPr>
      <w:r>
        <w:rPr>
          <w:sz w:val="22"/>
        </w:rPr>
        <w:lastRenderedPageBreak/>
        <w:t>C. 24.</w:t>
      </w: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B603E6">
      <w:pPr>
        <w:autoSpaceDE w:val="0"/>
        <w:autoSpaceDN w:val="0"/>
        <w:adjustRightInd w:val="0"/>
        <w:rPr>
          <w:sz w:val="23"/>
          <w:szCs w:val="23"/>
        </w:rPr>
      </w:pPr>
      <w:r>
        <w:rPr>
          <w:b/>
          <w:bCs/>
          <w:sz w:val="23"/>
          <w:szCs w:val="23"/>
        </w:rPr>
        <w:t>Answer: B</w:t>
      </w:r>
    </w:p>
    <w:p w:rsidR="00AC57A1" w:rsidRDefault="00B603E6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Expected return on security A = 0.6 × 25% + 0.4 × 20% = 15% + 8% = 23% </w:t>
      </w:r>
    </w:p>
    <w:p w:rsidR="00AC57A1" w:rsidRDefault="00B603E6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Expected return on security B = 0.6 × 30% + 0.4 × 20% = 18% + 8% = 2</w:t>
      </w:r>
      <w:r>
        <w:rPr>
          <w:rFonts w:asciiTheme="minorHAnsi" w:hAnsiTheme="minorHAnsi"/>
          <w:sz w:val="23"/>
          <w:szCs w:val="23"/>
        </w:rPr>
        <w:t xml:space="preserve">6% </w:t>
      </w:r>
    </w:p>
    <w:p w:rsidR="00AC57A1" w:rsidRDefault="00B603E6">
      <w:pPr>
        <w:pStyle w:val="Default"/>
        <w:rPr>
          <w:rFonts w:asciiTheme="minorHAnsi" w:hAnsiTheme="minorHAnsi"/>
          <w:sz w:val="23"/>
          <w:szCs w:val="23"/>
        </w:rPr>
      </w:pPr>
      <w:proofErr w:type="spellStart"/>
      <w:r>
        <w:rPr>
          <w:rFonts w:asciiTheme="minorHAnsi" w:hAnsiTheme="minorHAnsi"/>
          <w:sz w:val="23"/>
          <w:szCs w:val="23"/>
        </w:rPr>
        <w:t>Cov</w:t>
      </w:r>
      <w:proofErr w:type="spellEnd"/>
      <w:r>
        <w:rPr>
          <w:rFonts w:asciiTheme="minorHAnsi" w:hAnsiTheme="minorHAnsi"/>
          <w:sz w:val="23"/>
          <w:szCs w:val="23"/>
        </w:rPr>
        <w:t xml:space="preserve"> (</w:t>
      </w:r>
      <w:proofErr w:type="gramStart"/>
      <w:r>
        <w:rPr>
          <w:rFonts w:asciiTheme="minorHAnsi" w:hAnsiTheme="minorHAnsi"/>
          <w:sz w:val="23"/>
          <w:szCs w:val="23"/>
        </w:rPr>
        <w:t>R</w:t>
      </w:r>
      <w:r>
        <w:rPr>
          <w:rFonts w:asciiTheme="minorHAnsi" w:hAnsiTheme="minorHAnsi"/>
          <w:sz w:val="16"/>
          <w:szCs w:val="16"/>
        </w:rPr>
        <w:t>A</w:t>
      </w:r>
      <w:r>
        <w:rPr>
          <w:rFonts w:asciiTheme="minorHAnsi" w:hAnsiTheme="minorHAnsi"/>
          <w:sz w:val="23"/>
          <w:szCs w:val="23"/>
        </w:rPr>
        <w:t>,R</w:t>
      </w:r>
      <w:r>
        <w:rPr>
          <w:rFonts w:asciiTheme="minorHAnsi" w:hAnsiTheme="minorHAnsi"/>
          <w:sz w:val="16"/>
          <w:szCs w:val="16"/>
        </w:rPr>
        <w:t>B</w:t>
      </w:r>
      <w:proofErr w:type="gramEnd"/>
      <w:r>
        <w:rPr>
          <w:rFonts w:asciiTheme="minorHAnsi" w:hAnsiTheme="minorHAnsi"/>
          <w:sz w:val="23"/>
          <w:szCs w:val="23"/>
        </w:rPr>
        <w:t xml:space="preserve">) = 0.6 [(25 − 23)(30 −26)] +0.4 [(20 − 23)(20 − 26)] 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= 0.6(2 × 4) + 0.4(−3 × −6) = 0.6(8) +0.4(18) = 4.8 + 7.2 = 12.</w:t>
      </w: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8</w:t>
      </w:r>
      <w:r>
        <w:rPr>
          <w:sz w:val="23"/>
          <w:szCs w:val="23"/>
        </w:rPr>
        <w:t>. A two-tailed t-test of the null hypothesis that the population mean differs from zero has a p-value of 0.0275. Using a</w:t>
      </w:r>
      <w:r>
        <w:rPr>
          <w:sz w:val="23"/>
          <w:szCs w:val="23"/>
        </w:rPr>
        <w:t xml:space="preserve"> significance level of 5%, the most appropriate conclusion is: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A. reject the null hypothesis.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B. accept the null hypothesis.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C. the chosen significance level is too high.</w:t>
      </w: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B603E6">
      <w:pPr>
        <w:autoSpaceDE w:val="0"/>
        <w:autoSpaceDN w:val="0"/>
        <w:adjustRightInd w:val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Answer = </w:t>
      </w:r>
      <w:r>
        <w:rPr>
          <w:rFonts w:hint="eastAsia"/>
          <w:b/>
          <w:bCs/>
          <w:sz w:val="23"/>
          <w:szCs w:val="23"/>
        </w:rPr>
        <w:t>A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2"/>
        </w:rPr>
        <w:t xml:space="preserve">The </w:t>
      </w:r>
      <w:r>
        <w:rPr>
          <w:i/>
          <w:iCs/>
          <w:sz w:val="22"/>
        </w:rPr>
        <w:t>p</w:t>
      </w:r>
      <w:r>
        <w:rPr>
          <w:sz w:val="22"/>
        </w:rPr>
        <w:t xml:space="preserve">-value is the smallest level of significance at which the null hypothesis can be rejected. In this case, the given </w:t>
      </w:r>
      <w:r>
        <w:rPr>
          <w:i/>
          <w:iCs/>
          <w:sz w:val="22"/>
        </w:rPr>
        <w:t>p</w:t>
      </w:r>
      <w:r>
        <w:rPr>
          <w:sz w:val="22"/>
        </w:rPr>
        <w:t>-value is less than the given level of significance and we reject the null hypothesis.</w:t>
      </w: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9</w:t>
      </w:r>
      <w:r>
        <w:rPr>
          <w:sz w:val="23"/>
          <w:szCs w:val="23"/>
        </w:rPr>
        <w:t>. If the distribution of the population from which</w:t>
      </w:r>
      <w:r>
        <w:rPr>
          <w:sz w:val="23"/>
          <w:szCs w:val="23"/>
        </w:rPr>
        <w:t xml:space="preserve"> the samples are drawn is positively skewed, and given that the sample size is large, the sampling distribution of the sample means is most likely: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A. approximately normally distributed.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B. to have a variance equal to that of the entire population.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C. to h</w:t>
      </w:r>
      <w:r>
        <w:rPr>
          <w:sz w:val="23"/>
          <w:szCs w:val="23"/>
        </w:rPr>
        <w:t>ave a mean smaller than the mean of the entire population.</w:t>
      </w: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B603E6">
      <w:pPr>
        <w:autoSpaceDE w:val="0"/>
        <w:autoSpaceDN w:val="0"/>
        <w:adjustRightInd w:val="0"/>
        <w:rPr>
          <w:sz w:val="23"/>
          <w:szCs w:val="23"/>
        </w:rPr>
      </w:pPr>
      <w:r>
        <w:rPr>
          <w:b/>
          <w:bCs/>
          <w:sz w:val="23"/>
          <w:szCs w:val="23"/>
        </w:rPr>
        <w:t>Answer: A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2"/>
        </w:rPr>
        <w:t>The central limit theorem establishes that the sampling distribution of sample means will be approximately normal, will have a mean equal to the population mean, and will have a variance</w:t>
      </w:r>
      <w:r>
        <w:rPr>
          <w:sz w:val="22"/>
        </w:rPr>
        <w:t xml:space="preserve"> equal to the population variance divided by the sample size.</w:t>
      </w: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10</w:t>
      </w:r>
      <w:r>
        <w:rPr>
          <w:sz w:val="23"/>
          <w:szCs w:val="23"/>
        </w:rPr>
        <w:t>. Which of the following statements about a normal distribution is least accurate? A normal distribution: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A. has an excess kurtosis of 3.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B. is completely described by two parameters.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C. can</w:t>
      </w:r>
      <w:r>
        <w:rPr>
          <w:sz w:val="23"/>
          <w:szCs w:val="23"/>
        </w:rPr>
        <w:t xml:space="preserve"> be the linear combination of two or more normal random variables.</w:t>
      </w:r>
    </w:p>
    <w:p w:rsidR="00AC57A1" w:rsidRDefault="00AC57A1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AC57A1" w:rsidRDefault="00B603E6">
      <w:pPr>
        <w:autoSpaceDE w:val="0"/>
        <w:autoSpaceDN w:val="0"/>
        <w:adjustRightInd w:val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Answer: A  </w:t>
      </w:r>
    </w:p>
    <w:p w:rsidR="00AC57A1" w:rsidRDefault="00B603E6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A normal distribution has a kurtosis of 3. Its excess kurtosis (kurtosis – 3.0) equals zero. </w:t>
      </w:r>
    </w:p>
    <w:p w:rsidR="00AC57A1" w:rsidRDefault="00044F6E">
      <w:pPr>
        <w:autoSpaceDE w:val="0"/>
        <w:autoSpaceDN w:val="0"/>
        <w:adjustRightInd w:val="0"/>
        <w:jc w:val="left"/>
        <w:rPr>
          <w:sz w:val="23"/>
          <w:szCs w:val="23"/>
        </w:rPr>
      </w:pPr>
      <w:bookmarkStart w:id="4" w:name="_GoBack"/>
      <w:r>
        <w:rPr>
          <w:noProof/>
        </w:rPr>
        <w:drawing>
          <wp:anchor distT="0" distB="0" distL="114300" distR="114300" simplePos="0" relativeHeight="251702272" behindDoc="0" locked="0" layoutInCell="1" allowOverlap="1" wp14:anchorId="7A1E17B6" wp14:editId="5BF4D7B8">
            <wp:simplePos x="0" y="0"/>
            <wp:positionH relativeFrom="column">
              <wp:posOffset>-351643</wp:posOffset>
            </wp:positionH>
            <wp:positionV relativeFrom="paragraph">
              <wp:posOffset>225132</wp:posOffset>
            </wp:positionV>
            <wp:extent cx="1293495" cy="1233805"/>
            <wp:effectExtent l="0" t="0" r="1905" b="4445"/>
            <wp:wrapNone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4"/>
    </w:p>
    <w:p w:rsidR="00AC57A1" w:rsidRDefault="00044F6E">
      <w:pPr>
        <w:autoSpaceDE w:val="0"/>
        <w:autoSpaceDN w:val="0"/>
        <w:adjustRightInd w:val="0"/>
        <w:jc w:val="left"/>
        <w:rPr>
          <w:rFonts w:cs="Calibri"/>
          <w:b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7F8E918" wp14:editId="5B048DC0">
            <wp:simplePos x="0" y="0"/>
            <wp:positionH relativeFrom="column">
              <wp:posOffset>5499588</wp:posOffset>
            </wp:positionH>
            <wp:positionV relativeFrom="paragraph">
              <wp:posOffset>181366</wp:posOffset>
            </wp:positionV>
            <wp:extent cx="1217295" cy="1160145"/>
            <wp:effectExtent l="0" t="0" r="1905" b="1905"/>
            <wp:wrapNone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57A1">
      <w:headerReference w:type="default" r:id="rId25"/>
      <w:footerReference w:type="default" r:id="rId26"/>
      <w:pgSz w:w="11906" w:h="16838"/>
      <w:pgMar w:top="1440" w:right="1274" w:bottom="1276" w:left="1134" w:header="851" w:footer="61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3E6" w:rsidRDefault="00B603E6">
      <w:r>
        <w:separator/>
      </w:r>
    </w:p>
  </w:endnote>
  <w:endnote w:type="continuationSeparator" w:id="0">
    <w:p w:rsidR="00B603E6" w:rsidRDefault="00B6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7A1" w:rsidRDefault="00B603E6">
    <w:pPr>
      <w:pStyle w:val="a5"/>
      <w:pBdr>
        <w:top w:val="single" w:sz="4" w:space="1" w:color="A5A5A5" w:themeColor="background1" w:themeShade="A5"/>
      </w:pBdr>
      <w:wordWrap w:val="0"/>
      <w:jc w:val="right"/>
      <w:rPr>
        <w:color w:val="7F7F7F" w:themeColor="background1" w:themeShade="7F"/>
      </w:rPr>
    </w:pPr>
    <w:r>
      <w:rPr>
        <w:color w:val="7F7F7F" w:themeColor="background1" w:themeShade="7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left:0;text-align:left;margin-left:433.15pt;margin-top:-16.65pt;width:41.3pt;height:18.25pt;z-index:251697152;mso-width-relative:page;mso-height-relative:page" filled="f" stroked="f">
          <v:textbox inset=",0,,0">
            <w:txbxContent>
              <w:p w:rsidR="00AC57A1" w:rsidRDefault="00B603E6">
                <w:pPr>
                  <w:jc w:val="center"/>
                  <w:rPr>
                    <w:color w:val="4F81BD" w:themeColor="accent1"/>
                  </w:rPr>
                </w:pPr>
                <w:r>
                  <w:rPr>
                    <w:rFonts w:hint="eastAsia"/>
                  </w:rPr>
                  <w:t>-</w:t>
                </w: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044F6E" w:rsidRPr="00044F6E">
                  <w:rPr>
                    <w:noProof/>
                    <w:lang w:val="zh-CN"/>
                  </w:rPr>
                  <w:t>4</w:t>
                </w:r>
                <w:r>
                  <w:rPr>
                    <w:lang w:val="zh-CN"/>
                  </w:rPr>
                  <w:fldChar w:fldCharType="end"/>
                </w:r>
                <w:r>
                  <w:rPr>
                    <w:rFonts w:hint="eastAsia"/>
                  </w:rPr>
                  <w:t>-</w:t>
                </w:r>
              </w:p>
            </w:txbxContent>
          </v:textbox>
        </v:shape>
      </w:pict>
    </w:r>
    <w:sdt>
      <w:sdtPr>
        <w:alias w:val="公司"/>
        <w:id w:val="76161118"/>
        <w:placeholder>
          <w:docPart w:val="A0F7A561D771482C9B76A384459B592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hint="eastAsia"/>
          </w:rPr>
          <w:t>学服：</w:t>
        </w:r>
        <w:r>
          <w:rPr>
            <w:rFonts w:hint="eastAsia"/>
          </w:rPr>
          <w:t xml:space="preserve">021-51210513  </w:t>
        </w:r>
        <w:r>
          <w:rPr>
            <w:rFonts w:hint="eastAsia"/>
          </w:rPr>
          <w:t>咨询：</w:t>
        </w:r>
        <w:r>
          <w:rPr>
            <w:rFonts w:hint="eastAsia"/>
          </w:rPr>
          <w:t xml:space="preserve">400-600-8011  </w:t>
        </w:r>
        <w:r>
          <w:rPr>
            <w:rFonts w:hint="eastAsia"/>
          </w:rPr>
          <w:t>邮箱：</w:t>
        </w:r>
        <w:r>
          <w:rPr>
            <w:rFonts w:hint="eastAsia"/>
          </w:rPr>
          <w:t xml:space="preserve">cfa@gaodun.cn  </w:t>
        </w:r>
        <w:r>
          <w:rPr>
            <w:rFonts w:hint="eastAsia"/>
          </w:rPr>
          <w:t>网站：</w:t>
        </w:r>
        <w:r>
          <w:rPr>
            <w:rFonts w:hint="eastAsia"/>
          </w:rPr>
          <w:t>cfa.gaodun.cn</w:t>
        </w:r>
      </w:sdtContent>
    </w:sdt>
    <w:r>
      <w:rPr>
        <w:color w:val="7F7F7F" w:themeColor="background1" w:themeShade="7F"/>
        <w:lang w:val="zh-CN"/>
      </w:rPr>
      <w:t>|</w:t>
    </w:r>
    <w:sdt>
      <w:sdtPr>
        <w:rPr>
          <w:b/>
        </w:rPr>
        <w:alias w:val="地址"/>
        <w:id w:val="76161122"/>
        <w:placeholder>
          <w:docPart w:val="1E11AA381CAA41E7AE1E8A726AB6049E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>
          <w:rPr>
            <w:rFonts w:hint="eastAsia"/>
            <w:b/>
          </w:rPr>
          <w:t>高顿财经</w:t>
        </w:r>
        <w:r>
          <w:rPr>
            <w:rFonts w:hint="eastAsia"/>
            <w:b/>
          </w:rPr>
          <w:t xml:space="preserve">  </w:t>
        </w:r>
      </w:sdtContent>
    </w:sdt>
  </w:p>
  <w:p w:rsidR="00AC57A1" w:rsidRDefault="00AC57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3E6" w:rsidRDefault="00B603E6">
      <w:r>
        <w:separator/>
      </w:r>
    </w:p>
  </w:footnote>
  <w:footnote w:type="continuationSeparator" w:id="0">
    <w:p w:rsidR="00B603E6" w:rsidRDefault="00B60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7A1" w:rsidRDefault="00B603E6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left:0;text-align:left;margin-left:353.65pt;margin-top:-19.15pt;width:162.9pt;height:40.5pt;z-index:251781120;mso-width-relative:page;mso-height-relative:page" filled="f" stroked="f">
          <v:textbox>
            <w:txbxContent>
              <w:p w:rsidR="00AC57A1" w:rsidRDefault="00B603E6">
                <w:pPr>
                  <w:jc w:val="center"/>
                  <w:rPr>
                    <w:rFonts w:ascii="黑体" w:eastAsia="黑体"/>
                    <w:sz w:val="24"/>
                    <w:szCs w:val="24"/>
                  </w:rPr>
                </w:pPr>
                <w:r>
                  <w:rPr>
                    <w:rFonts w:ascii="黑体" w:eastAsia="黑体" w:hint="eastAsia"/>
                    <w:sz w:val="24"/>
                    <w:szCs w:val="24"/>
                  </w:rPr>
                  <w:t>财经学习，只</w:t>
                </w:r>
                <w:proofErr w:type="gramStart"/>
                <w:r>
                  <w:rPr>
                    <w:rFonts w:ascii="黑体" w:eastAsia="黑体" w:hint="eastAsia"/>
                    <w:sz w:val="24"/>
                    <w:szCs w:val="24"/>
                  </w:rPr>
                  <w:t>在高顿</w:t>
                </w:r>
                <w:proofErr w:type="gramEnd"/>
                <w:r>
                  <w:rPr>
                    <w:rFonts w:ascii="黑体" w:eastAsia="黑体"/>
                    <w:sz w:val="24"/>
                    <w:szCs w:val="24"/>
                  </w:rPr>
                  <w:t>http://</w:t>
                </w:r>
                <w:r>
                  <w:rPr>
                    <w:rFonts w:ascii="黑体" w:eastAsia="黑体" w:hint="eastAsia"/>
                    <w:sz w:val="24"/>
                    <w:szCs w:val="24"/>
                  </w:rPr>
                  <w:t>finance</w:t>
                </w:r>
                <w:r>
                  <w:rPr>
                    <w:rFonts w:ascii="黑体" w:eastAsia="黑体" w:hint="eastAsia"/>
                    <w:sz w:val="24"/>
                    <w:szCs w:val="24"/>
                  </w:rPr>
                  <w:t>.</w:t>
                </w:r>
                <w:r>
                  <w:rPr>
                    <w:rFonts w:ascii="黑体" w:eastAsia="黑体"/>
                    <w:sz w:val="24"/>
                    <w:szCs w:val="24"/>
                  </w:rPr>
                  <w:t>gaodun.cn</w:t>
                </w:r>
              </w:p>
              <w:p w:rsidR="00AC57A1" w:rsidRDefault="00AC57A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740160" behindDoc="0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-273050</wp:posOffset>
          </wp:positionV>
          <wp:extent cx="1256665" cy="466725"/>
          <wp:effectExtent l="0" t="0" r="635" b="9525"/>
          <wp:wrapSquare wrapText="bothSides"/>
          <wp:docPr id="3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rcRect r="62617"/>
                  <a:stretch>
                    <a:fillRect/>
                  </a:stretch>
                </pic:blipFill>
                <pic:spPr>
                  <a:xfrm>
                    <a:off x="0" y="0"/>
                    <a:ext cx="1256665" cy="4667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AC57A1" w:rsidRDefault="00AC57A1">
    <w:pPr>
      <w:pStyle w:val="a7"/>
    </w:pPr>
  </w:p>
  <w:p w:rsidR="00AC57A1" w:rsidRDefault="00AC57A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F7E"/>
    <w:rsid w:val="000262EB"/>
    <w:rsid w:val="00044F6E"/>
    <w:rsid w:val="00072B4F"/>
    <w:rsid w:val="000A1E27"/>
    <w:rsid w:val="000A3366"/>
    <w:rsid w:val="000E3572"/>
    <w:rsid w:val="001009FA"/>
    <w:rsid w:val="0010549D"/>
    <w:rsid w:val="001155AF"/>
    <w:rsid w:val="0015551C"/>
    <w:rsid w:val="001648F3"/>
    <w:rsid w:val="0018274C"/>
    <w:rsid w:val="001A120A"/>
    <w:rsid w:val="002321F0"/>
    <w:rsid w:val="00295F0F"/>
    <w:rsid w:val="002A0521"/>
    <w:rsid w:val="002A53CD"/>
    <w:rsid w:val="002A64A6"/>
    <w:rsid w:val="002B2C45"/>
    <w:rsid w:val="002B3BA1"/>
    <w:rsid w:val="002C4D66"/>
    <w:rsid w:val="002C64E8"/>
    <w:rsid w:val="002F1EB3"/>
    <w:rsid w:val="00384737"/>
    <w:rsid w:val="00393265"/>
    <w:rsid w:val="00394AB3"/>
    <w:rsid w:val="004332C9"/>
    <w:rsid w:val="00440193"/>
    <w:rsid w:val="00474C48"/>
    <w:rsid w:val="004E39F2"/>
    <w:rsid w:val="00532306"/>
    <w:rsid w:val="00552B8A"/>
    <w:rsid w:val="0057318F"/>
    <w:rsid w:val="005B7AC0"/>
    <w:rsid w:val="005C1C2C"/>
    <w:rsid w:val="005C6018"/>
    <w:rsid w:val="005D7251"/>
    <w:rsid w:val="00636ECD"/>
    <w:rsid w:val="0063796F"/>
    <w:rsid w:val="00647349"/>
    <w:rsid w:val="006624A5"/>
    <w:rsid w:val="006A36DD"/>
    <w:rsid w:val="006B5FD4"/>
    <w:rsid w:val="006E30B8"/>
    <w:rsid w:val="006F222D"/>
    <w:rsid w:val="00707B07"/>
    <w:rsid w:val="00721C28"/>
    <w:rsid w:val="00727ED2"/>
    <w:rsid w:val="00744487"/>
    <w:rsid w:val="00756224"/>
    <w:rsid w:val="00760CE0"/>
    <w:rsid w:val="007A3678"/>
    <w:rsid w:val="007A3C24"/>
    <w:rsid w:val="007B0D11"/>
    <w:rsid w:val="007F7C48"/>
    <w:rsid w:val="00814990"/>
    <w:rsid w:val="00821B36"/>
    <w:rsid w:val="00830ACD"/>
    <w:rsid w:val="00847075"/>
    <w:rsid w:val="00855E9C"/>
    <w:rsid w:val="008C11A6"/>
    <w:rsid w:val="008D1EF9"/>
    <w:rsid w:val="00905D22"/>
    <w:rsid w:val="00941CE6"/>
    <w:rsid w:val="00944F68"/>
    <w:rsid w:val="00955E03"/>
    <w:rsid w:val="00972EF0"/>
    <w:rsid w:val="00993027"/>
    <w:rsid w:val="009A7EB3"/>
    <w:rsid w:val="009B4DAA"/>
    <w:rsid w:val="009C5EB7"/>
    <w:rsid w:val="00A2731A"/>
    <w:rsid w:val="00A3007F"/>
    <w:rsid w:val="00A46DD5"/>
    <w:rsid w:val="00A53659"/>
    <w:rsid w:val="00A74FA3"/>
    <w:rsid w:val="00AA4D17"/>
    <w:rsid w:val="00AC52D6"/>
    <w:rsid w:val="00AC57A1"/>
    <w:rsid w:val="00AD0F7E"/>
    <w:rsid w:val="00AD15A5"/>
    <w:rsid w:val="00AF41E3"/>
    <w:rsid w:val="00B11704"/>
    <w:rsid w:val="00B2313C"/>
    <w:rsid w:val="00B338BF"/>
    <w:rsid w:val="00B44D61"/>
    <w:rsid w:val="00B55718"/>
    <w:rsid w:val="00B603E6"/>
    <w:rsid w:val="00B748CA"/>
    <w:rsid w:val="00BD6D03"/>
    <w:rsid w:val="00C8087F"/>
    <w:rsid w:val="00C95E58"/>
    <w:rsid w:val="00CC62A7"/>
    <w:rsid w:val="00CE318F"/>
    <w:rsid w:val="00CF6757"/>
    <w:rsid w:val="00CF745C"/>
    <w:rsid w:val="00D02B2A"/>
    <w:rsid w:val="00D829F0"/>
    <w:rsid w:val="00D857DA"/>
    <w:rsid w:val="00D95F27"/>
    <w:rsid w:val="00DC0648"/>
    <w:rsid w:val="00DC48E9"/>
    <w:rsid w:val="00E048CD"/>
    <w:rsid w:val="00E05F53"/>
    <w:rsid w:val="00E83613"/>
    <w:rsid w:val="00E93903"/>
    <w:rsid w:val="00E9718B"/>
    <w:rsid w:val="00EA27EB"/>
    <w:rsid w:val="00EA4453"/>
    <w:rsid w:val="00EC1B24"/>
    <w:rsid w:val="00EF6E91"/>
    <w:rsid w:val="00F01A14"/>
    <w:rsid w:val="00F17F9C"/>
    <w:rsid w:val="00F44116"/>
    <w:rsid w:val="00F85BC5"/>
    <w:rsid w:val="00FC1727"/>
    <w:rsid w:val="00FD55EC"/>
    <w:rsid w:val="00FE1E02"/>
    <w:rsid w:val="1F402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5:docId w15:val="{47FF5A8F-7E75-481E-A671-A8306FFA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rPr>
      <w:kern w:val="0"/>
      <w:sz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wmf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7A561D771482C9B76A384459B59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3A6B21-3094-4544-9725-81C794BE795E}"/>
      </w:docPartPr>
      <w:docPartBody>
        <w:p w:rsidR="009A19FA" w:rsidRDefault="00077B6F">
          <w:pPr>
            <w:pStyle w:val="A0F7A561D771482C9B76A384459B5920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键入公司名称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1E11AA381CAA41E7AE1E8A726AB604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0CC2FD-04ED-4E7B-80CC-54DC307B713A}"/>
      </w:docPartPr>
      <w:docPartBody>
        <w:p w:rsidR="009A19FA" w:rsidRDefault="00077B6F">
          <w:pPr>
            <w:pStyle w:val="1E11AA381CAA41E7AE1E8A726AB6049E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159"/>
    <w:rsid w:val="000434DC"/>
    <w:rsid w:val="00063885"/>
    <w:rsid w:val="00077B6F"/>
    <w:rsid w:val="001F6102"/>
    <w:rsid w:val="0023296E"/>
    <w:rsid w:val="0024698F"/>
    <w:rsid w:val="00247749"/>
    <w:rsid w:val="00337E4C"/>
    <w:rsid w:val="0037214E"/>
    <w:rsid w:val="00472ACF"/>
    <w:rsid w:val="008E10E6"/>
    <w:rsid w:val="009A19FA"/>
    <w:rsid w:val="00A75FB0"/>
    <w:rsid w:val="00B24304"/>
    <w:rsid w:val="00CA03AF"/>
    <w:rsid w:val="00D23D08"/>
    <w:rsid w:val="00D41CBC"/>
    <w:rsid w:val="00D5443A"/>
    <w:rsid w:val="00D60159"/>
    <w:rsid w:val="00D62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6F1C1839E44C66B650A56F8643A3DF">
    <w:name w:val="006F1C1839E44C66B650A56F8643A3DF"/>
    <w:pPr>
      <w:widowControl w:val="0"/>
      <w:jc w:val="both"/>
    </w:pPr>
    <w:rPr>
      <w:kern w:val="2"/>
      <w:sz w:val="21"/>
      <w:szCs w:val="22"/>
    </w:rPr>
  </w:style>
  <w:style w:type="paragraph" w:customStyle="1" w:styleId="0D300E8BC8884EBD8A80321A78A0764F">
    <w:name w:val="0D300E8BC8884EBD8A80321A78A0764F"/>
    <w:pPr>
      <w:widowControl w:val="0"/>
      <w:jc w:val="both"/>
    </w:pPr>
    <w:rPr>
      <w:kern w:val="2"/>
      <w:sz w:val="21"/>
      <w:szCs w:val="22"/>
    </w:rPr>
  </w:style>
  <w:style w:type="paragraph" w:customStyle="1" w:styleId="A0F7A561D771482C9B76A384459B5920">
    <w:name w:val="A0F7A561D771482C9B76A384459B5920"/>
    <w:pPr>
      <w:widowControl w:val="0"/>
      <w:jc w:val="both"/>
    </w:pPr>
    <w:rPr>
      <w:kern w:val="2"/>
      <w:sz w:val="21"/>
      <w:szCs w:val="22"/>
    </w:rPr>
  </w:style>
  <w:style w:type="paragraph" w:customStyle="1" w:styleId="1E11AA381CAA41E7AE1E8A726AB6049E">
    <w:name w:val="1E11AA381CAA41E7AE1E8A726AB6049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高顿财经  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4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694BCE2-47EB-4DB4-8645-4B7B040F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1207</Words>
  <Characters>6882</Characters>
  <Application>Microsoft Office Word</Application>
  <DocSecurity>0</DocSecurity>
  <Lines>57</Lines>
  <Paragraphs>16</Paragraphs>
  <ScaleCrop>false</ScaleCrop>
  <Company>学服：021-51210513  咨询：400-600-8011  邮箱：cfa@gaodun.cn  网站：cfa.gaodun.cn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梁文伯</cp:lastModifiedBy>
  <cp:revision>51</cp:revision>
  <cp:lastPrinted>2018-01-22T04:00:00Z</cp:lastPrinted>
  <dcterms:created xsi:type="dcterms:W3CDTF">2011-08-01T12:55:00Z</dcterms:created>
  <dcterms:modified xsi:type="dcterms:W3CDTF">2018-01-22T04:01:00Z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