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666666"/>
          <w:sz w:val="22"/>
          <w:szCs w:val="22"/>
        </w:rPr>
        <w:t xml:space="preserve">DOC-01</w:t>
      </w:r>
    </w:p>
    <w:p>
      <w:pPr>
        <w:pStyle w:val="Title"/>
      </w:pPr>
      <w:r>
        <w:t xml:space="preserve">Rozsah systému řízení bezpečnosti informací</w:t>
      </w:r>
    </w:p>
    <w:p>
      <w:pPr>
        <w:spacing w:after="30"/>
      </w:pPr>
      <w:r>
        <w:rPr>
          <w:color w:val="666666"/>
          <w:sz w:val="22"/>
          <w:szCs w:val="22"/>
        </w:rPr>
        <w:t xml:space="preserve">STRATEGIE - System s.r.o. — Systém řízení bezpečnosti informací (ISMS)</w:t>
      </w:r>
    </w:p>
    <w:p>
      <w:pPr>
        <w:spacing w:after="200"/>
      </w:pPr>
      <w:r>
        <w:rPr>
          <w:color w:val="666666"/>
          <w:sz w:val="18"/>
          <w:szCs w:val="18"/>
        </w:rPr>
        <w:t xml:space="preserve">IČO 23365544 · Nad Týncem 1192/10, Doubravka, 312 00 Plzeň · sp. zn. C 46859, KS v Plzni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DOC-01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Datum vydání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Vlastník dokumentu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(jednatel)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Schválil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Marti Pašek (jednatel)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20"/>
                <w:szCs w:val="20"/>
              </w:rPr>
              <w:t xml:space="preserve">Platnost od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b/>
          <w:bCs/>
          <w:color w:val="666666"/>
          <w:sz w:val="20"/>
          <w:szCs w:val="20"/>
        </w:rPr>
        <w:t xml:space="preserve">Historie revizí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3826"/>
        <w:gridCol w:w="20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Verze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15. 8. 2026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Prvotní návrh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STRATEGIE / Claude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1. Účel dokumentu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Tento dokument vymezuje rozsah (scope) systému řízení bezpečnosti informací (dále jen „ISMS“) společnosti STRATEGIE - System s.r.o. dle požadavku normy ČSN EN ISO/IEC 27001:2022, kapitola 4.3.</w:t>
      </w:r>
    </w:p>
    <w:p>
      <w:pPr>
        <w:pStyle w:val="Heading1"/>
      </w:pPr>
      <w:r>
        <w:t xml:space="preserve">2. Profil organizace a kontext (4.1)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STRATEGIE - System s.r.o. (IČO 23365544, sídlo Nad Týncem 1192/10, Doubravka, 312 00 Plzeň, zapsaná u Krajského soudu v Plzni pod sp. zn. C 46859, vznik 12. 6. 2025) vyvíjí a provozuje modulární podnikovou platformu STRATEGIE — webovou aplikaci (PWA), mobilní aplikace (Android a iOS) a integrovaného AI asistenta. Platforma propojuje firemní procesy, lidi a data: docházku a plánování, personalistiku a mzdové podklady, nábor, CRM, řízení výroby a komunikaci.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Interní a externí souvislosti relevantní pro ISMS: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Interní: malý tým, vysoká míra automatizace, cloudový provoz, zpracování citlivých osobních a mzdových údajů.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Externí: legislativa (GDPR, zákoník práce, zákon o kybernetické bezpečnosti), požadavky zákazníků a partnerů (EUROSOFT-System, IQHUBS), závislost na cloudu a službách třetích stran.</w:t>
      </w:r>
    </w:p>
    <w:p>
      <w:pPr>
        <w:pStyle w:val="Heading1"/>
      </w:pPr>
      <w:r>
        <w:t xml:space="preserve">3. Zainteresované strany a jejich požadavky (4.2)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Zákazníci a partneři — důvěrnost, integrita a dostupnost svěřených dat; smluvní a certifikační požadavky (ISO/IEC 27001).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Zaměstnanci a uživatelé — ochrana osobních, docházkových a mzdových údajů.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Vedení — kontinuita provozu, ochrana dobrého jména, soulad s legislativou.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Dozorové orgány a legislativa — ochrana osobních údajů (GDPR), pracovněprávní povinnosti.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Dodavatelé (cloud, SMS brána, e-mail, Apple/Google) — vzájemné bezpečnostní povinnosti.</w:t>
      </w:r>
    </w:p>
    <w:p>
      <w:pPr>
        <w:pStyle w:val="Heading1"/>
      </w:pPr>
      <w:r>
        <w:t xml:space="preserve">4. Rozsah ISMS (4.3)</w:t>
      </w:r>
    </w:p>
    <w:p>
      <w:pPr>
        <w:pStyle w:val="Heading2"/>
      </w:pPr>
      <w:r>
        <w:t xml:space="preserve">4.1 Co je v rozsahu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ISMS pokrývá vývoj, provoz, podporu a správu platformy STRATEGIE a všechna související aktiva: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Aplikace: webová PWA, mobilní aplikace (Android, iOS), AI asistent (Marti-AI), administrační a ERP rozhraní.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Informace: osobní a kontaktní údaje, docházka a plánování, mzdové a personální podklady, nábor, CRM, přihlašovací tajemství (šifrovaný trezor).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Infrastruktura: cloudové servery aplikace a databáze, PostgreSQL, reverzní proxy, zálohovací úložiště, integrační a komunikační kanály.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Organizace: celá společnost STRATEGIE - System s.r.o. a osoby podílející se na vývoji a provozu.</w:t>
      </w:r>
    </w:p>
    <w:p>
      <w:pPr>
        <w:pStyle w:val="Heading2"/>
      </w:pPr>
      <w:r>
        <w:t xml:space="preserve">4.2 Lokality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Produkční cloudové prostředí (aplikační a databázový server) — poskytovatel ČMIS, datové centrum Praha (ČR).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Pracoviště týmu a pracovní stanice s přístupem do systému.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Bezpečné integrační rozhraní na on-premise systémy partnera (EUROSOFT) v rozsahu vyhrazených sdílených složek a čtených dat.</w:t>
      </w:r>
    </w:p>
    <w:p>
      <w:pPr>
        <w:pStyle w:val="Heading2"/>
      </w:pPr>
      <w:r>
        <w:t xml:space="preserve">4.3 Hranice a rozhraní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Cloudový poskytovatel ČMIS (provoz serverů, síť, fyzická bezpečnost DC).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Integrace na systémy partnera EUROSOFT přes řízené, auditované rozhraní.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Služby třetích stran: SMS brána, e-mailová služba, distribuční platformy (Apple App Store, Google Play).</w:t>
      </w:r>
    </w:p>
    <w:p>
      <w:pPr>
        <w:pStyle w:val="Heading2"/>
      </w:pPr>
      <w:r>
        <w:t xml:space="preserve">4.4 Vyloučení a vymezení</w:t>
      </w:r>
    </w:p>
    <w:p>
      <w:pPr>
        <w:spacing w:after="120" w:line="264"/>
      </w:pPr>
      <w:r>
        <w:rPr>
          <w:b w:val="false"/>
          <w:bCs w:val="false"/>
          <w:i w:val="false"/>
          <w:iCs w:val="false"/>
        </w:rPr>
        <w:t xml:space="preserve">Z požadavků normy (kap. 4–10) není vyloučeno nic; aplikovatelnost opatření přílohy A řeší DOC-06 (SoA). Mimo rozsah: koncová zařízení a sítě zákazníků a partnerů, fyzická infrastruktura cloudového poskytovatele (jeho vlastní certifikace), interní systémy partnerů mimo vyhrazené rozhraní.</w:t>
      </w:r>
    </w:p>
    <w:p>
      <w:pPr>
        <w:pStyle w:val="Heading1"/>
      </w:pPr>
      <w:r>
        <w:t xml:space="preserve">5. Související dokumenty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DOC-02 Politika informační bezpečnosti, DOC-06 SoA, DOC-15 Evidence aktiv a klasifikace.</w:t>
      </w:r>
    </w:p>
    <w:p>
      <w:pPr>
        <w:pStyle w:val="Heading1"/>
      </w:pPr>
      <w:r>
        <w:t xml:space="preserve">6. Schválení</w:t>
      </w:r>
    </w:p>
    <w:p>
      <w:pPr>
        <w:spacing w:after="0" w:line="264"/>
      </w:pPr>
      <w:r>
        <w:rPr>
          <w:b w:val="false"/>
          <w:bCs w:val="false"/>
          <w:i w:val="false"/>
          <w:iCs w:val="false"/>
        </w:rPr>
        <w:t xml:space="preserve">Schválil: Marti Pašek, jednatel             Datum: 15. 8. 2026             Podpis: ............................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BBBBB" w:sz="6" w:space="4"/>
      </w:pBdr>
      <w:tabs>
        <w:tab w:val="right" w:pos="9026"/>
      </w:tabs>
    </w:pPr>
    <w:r>
      <w:rPr>
        <w:color w:val="666666"/>
        <w:sz w:val="15"/>
        <w:szCs w:val="15"/>
      </w:rPr>
      <w:t xml:space="preserve">Rozsah systému řízení bezpečnosti informací  ·  verze 0.1</w:t>
    </w:r>
    <w:r>
      <w:rPr>
        <w:color w:val="666666"/>
        <w:sz w:val="15"/>
        <w:szCs w:val="15"/>
      </w:rPr>
      <w:t xml:space="preserve">	Strana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A5F" w:sz="6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STRATEGIE - System s.r.o.</w:t>
    </w:r>
    <w:r>
      <w:rPr>
        <w:color w:val="666666"/>
        <w:sz w:val="16"/>
        <w:szCs w:val="16"/>
      </w:rPr>
      <w:t xml:space="preserve">	DOC-01  ·  Klasifikace: Interní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 w:before="0"/>
    </w:pPr>
    <w:rPr>
      <w:rFonts w:ascii="Arial" w:cs="Arial" w:eastAsia="Arial" w:hAnsi="Arial"/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4A6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2026-06-17T14:45:08.792Z</dcterms:created>
  <dcterms:modified xsi:type="dcterms:W3CDTF">2026-06-17T14:45:08.792Z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