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DOC-04</w:t>
      </w:r>
    </w:p>
    <w:p>
      <w:pPr>
        <w:pStyle w:val="Title"/>
      </w:pPr>
      <w:r>
        <w:t xml:space="preserve">Metodika hodnocení a ošetření rizik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Tato metodika stanovuje jednotný postup pro identifikaci, hodnocení a ošetření rizik bezpečnosti informací ve společnosti STRATEGIE - System s.r.o. dle ČSN EN ISO/IEC 27001:2022 (kapitoly 6.1.2 a 6.1.3). Zajišťuje opakovatelné a srovnatelné výsledky.</w:t>
      </w:r>
    </w:p>
    <w:p>
      <w:pPr>
        <w:pStyle w:val="Heading1"/>
      </w:pPr>
      <w:r>
        <w:t xml:space="preserve">2. Přístup k hodnocení rizik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Rizika se identifikují kombinací pohledu na aktiva (DOC-15) a typové scénáře hrozeb. U každého rizika se určí možný dopad a pravděpodobnost; jejich součinem vznikne míra rizika.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Míra rizika = Dopad × Pravděpodobnost (stupnice 1–5, výsledek 1–25).</w:t>
      </w:r>
    </w:p>
    <w:p>
      <w:pPr>
        <w:pStyle w:val="Heading2"/>
      </w:pPr>
      <w:r>
        <w:t xml:space="preserve">3. Stupnice dopadu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Stupeň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Zanedbatelný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podstatného vlivu na provoz, data ani dobré jméno.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Malý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Drobné narušení, snadno napravitelné, bez úniku citlivých dat.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Střední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Omezení provozu, dílčí ztráta dat nebo dostupnosti, řešitelné v rámci dne.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Velký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Únik osobních/mzdových dat, delší výpadek, smluvní či právní dopad.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Kritický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Rozsáhlý únik citlivých dat, dlouhý výpadek, vážná újma na důvěře a dobrém jménu.</w:t>
            </w:r>
          </w:p>
        </w:tc>
      </w:tr>
    </w:tbl>
    <w:p>
      <w:pPr>
        <w:pStyle w:val="Heading2"/>
      </w:pPr>
      <w:r>
        <w:t xml:space="preserve">4. Stupnice pravděpodobnosti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Stupeň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Pravděpodobnost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Velmi nízká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Výskyt nepravděpodobný (řádově méně než jednou za několik let).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Nízká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Může nastat ojediněle.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Střední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Reálně může nastat během roku.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Vysoká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Pravděpodobný výskyt vícekrát za rok.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Velmi vysoká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Téměř jistý nebo opakovaný výskyt.</w:t>
            </w:r>
          </w:p>
        </w:tc>
      </w:tr>
    </w:tbl>
    <w:p>
      <w:pPr>
        <w:pStyle w:val="Heading2"/>
      </w:pPr>
      <w:r>
        <w:t xml:space="preserve">5. Kritéria přijatelnosti rizika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Míra rizika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Hodnocení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Postup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Přijatelné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Riziko lze akceptovat; sledujeme.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Zvýšené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 ošetřit opatřeními a snížit; plán v DOC-07.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Neakceptovatelné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Vyžaduje přednostní ošetření; zbytkovou akceptaci schvaluje vedení.</w:t>
            </w:r>
          </w:p>
        </w:tc>
      </w:tr>
    </w:tbl>
    <w:p>
      <w:pPr>
        <w:pStyle w:val="Heading1"/>
      </w:pPr>
      <w:r>
        <w:t xml:space="preserve">6. Možnosti ošetření rizika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Snížení — zavedení opatření (příloha A / vlastní), které sníží dopad nebo pravděpodobnost.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Přijetí — vědomé přijetí rizika v rámci kritérií (schvaluje vlastník, u neakceptovatelných vedení).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Přenesení — sdílení rizika (např. smluvně, pojištěním, přes dodavatele).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Vyhnutí se — ukončení činnosti nebo odstranění zdroje rizika.</w:t>
      </w:r>
    </w:p>
    <w:p>
      <w:pPr>
        <w:pStyle w:val="Heading1"/>
      </w:pPr>
      <w:r>
        <w:t xml:space="preserve">7. Vazba na SoA a plán ošetření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Pro vybraná opatření přílohy A se vede Prohlášení o aplikovatelnosti (DOC-06). Konkrétní opatření, odpovědnosti a termíny se zaznamenávají do Plánu ošetření rizik (DOC-07). Výsledky hodnocení se evidují v Registru rizik (DOC-05).</w:t>
      </w:r>
    </w:p>
    <w:p>
      <w:pPr>
        <w:pStyle w:val="Heading1"/>
      </w:pPr>
      <w:r>
        <w:t xml:space="preserve">8. Vlastnictví, frekvence a přezkum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Každé riziko má svého vlastníka. Hodnocení rizik se provádí nejméně jednou ročně a vždy při významné změně (technologické, organizační, legislativní) nebo po závažném incidentu. Metodiku přezkoumává manažer ISMS v rámci přezkoumání vedením (DOC-17).</w:t>
      </w:r>
    </w:p>
    <w:p>
      <w:pPr>
        <w:pStyle w:val="Heading1"/>
      </w:pPr>
      <w:r>
        <w:t xml:space="preserve">9.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Metodika hodnocení a ošetření rizik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DOC-04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2026-06-17T14:39:14.598Z</dcterms:created>
  <dcterms:modified xsi:type="dcterms:W3CDTF">2026-06-17T14:39:14.598Z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