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DOC-07</w:t>
      </w:r>
    </w:p>
    <w:p>
      <w:pPr>
        <w:pStyle w:val="Title"/>
      </w:pPr>
      <w:r>
        <w:t xml:space="preserve">Plán ošetření rizik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Plán stanovuje opatření ke snížení rizik z DOC-05, jejich vazbu na opatření přílohy A (DOC-06) a termíny. Stav vyhodnocuje manažer ISMS.</w:t>
      </w:r>
    </w:p>
    <w:p>
      <w:pPr>
        <w:pStyle w:val="Heading1"/>
      </w:pPr>
      <w:r>
        <w:t xml:space="preserve">2. Plán ošetření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226"/>
        <w:gridCol w:w="2150"/>
        <w:gridCol w:w="2000"/>
      </w:tblGrid>
      <w:tr>
        <w:trPr>
          <w:tblHeader/>
        </w:trP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Opatření ke snížení rizika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Opatření přílohy 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Termín / stav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Řízení přístupů (role/ACL), šifrování trezoru, MFA, audit log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A.5.15, A.8.3, A.8.5, A.8.24, A.8.15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Zavedeno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Denní zálohy (03:00) + testovaná obnova; offsite kopie a šifrování záloh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A.8.13, A.8.14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Offsite+šifrování do 30. 6. 2026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Vysoká dostupnost (blue-green), monitoring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A.8.14, A.8.16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Zavedeno / sledováno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R-04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MFA, nejnižší oprávnění, přezkum přístupů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A.5.15, A.5.17, A.5.18, A.8.5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Přezkum přístupů 1×/6 měsíců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R-05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Bezpečný vývoj, správa zranitelností, kontrola závislostí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A.8.25, A.8.8, A.8.28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Průběžně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R-06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Antivir ESET (EUROSOFT-System), oddělení od záloh; šifrování stanic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A.8.7, A.8.13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ESET zaveden; šifrování do 31. 7. 2026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R-07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SLA s poskytovatelem ČMIS, zálohy mimo prostředí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A.5.19–A.5.22, A.8.13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Při uzavření smlouvy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R-08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Pravidelný test obnovy, oddělená (offsite) kopie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A.8.13, A.8.14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Měsíčně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R-09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Schvalovací proces změn, audit log, zálohy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A.8.32, A.8.15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Zavedeno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R-10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Výběr a hodnocení dodavatelů, smluvní požadavky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A.5.19–A.5.23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Při sjednání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R-11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Omezení dat do AI/LLM (Anthropic – Claude), smluvní podmínky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A.5.19, A.8.10, A.5.34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Posoudit do 31. 7. 2026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R-12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Dokumentace, znalostní báze, řízené sdílení přístupů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A.5.2, A.5.37, A.6.1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Průběžně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R-13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Na stanicích nejsou zákaznická data; antivir; šifrování disků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A.7.9, A.8.1, A.8.13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Šifrování do 31. 7. 2026</w:t>
            </w:r>
          </w:p>
        </w:tc>
      </w:tr>
      <w:tr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R-14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Zpracovatelské smlouvy (DPA), klasifikace a retence</w:t>
            </w:r>
          </w:p>
        </w:tc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A.5.34, A.5.12, A.5.33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 31. 7. 2026</w:t>
            </w:r>
          </w:p>
        </w:tc>
      </w:tr>
    </w:tbl>
    <w:p>
      <w:pPr>
        <w:pStyle w:val="Heading1"/>
      </w:pPr>
      <w:r>
        <w:t xml:space="preserve">3. Zbytková rizika a akceptace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Po zavedení opatření manažer ISMS přehodnotí zbytkové riziko. Zbytková rizika 15–25 schvaluje vedení. Záznam akceptace: [DOPLNIT — datum].</w:t>
      </w:r>
    </w:p>
    <w:p>
      <w:pPr>
        <w:pStyle w:val="Heading1"/>
      </w:pPr>
      <w:r>
        <w:t xml:space="preserve">4.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Plán ošetření rizik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DOC-07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2026-06-17T14:45:09.272Z</dcterms:created>
  <dcterms:modified xsi:type="dcterms:W3CDTF">2026-06-17T14:45:09.272Z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