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66666"/>
          <w:sz w:val="22"/>
          <w:szCs w:val="22"/>
        </w:rPr>
        <w:t xml:space="preserve">DOC-08</w:t>
      </w:r>
    </w:p>
    <w:p>
      <w:pPr>
        <w:pStyle w:val="Title"/>
      </w:pPr>
      <w:r>
        <w:t xml:space="preserve">Cíle informační bezpečnosti</w:t>
      </w:r>
    </w:p>
    <w:p>
      <w:pPr>
        <w:spacing w:after="30"/>
      </w:pPr>
      <w:r>
        <w:rPr>
          <w:color w:val="666666"/>
          <w:sz w:val="22"/>
          <w:szCs w:val="22"/>
        </w:rPr>
        <w:t xml:space="preserve">STRATEGIE - System s.r.o. — Systém řízení bezpečnosti informací (ISMS)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IČO 23365544 · Nad Týncem 1192/10, Doubravka, 312 00 Plzeň · sp. zn. C 46859, KS v Plzni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Kód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DOC-08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0.1 (návrh)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Datum vydání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Klasifikace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Interní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Vlastník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Schválil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Platnost od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Historie revizí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826"/>
        <w:gridCol w:w="20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Verze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Popis změny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Prvotní návrh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STRATEGIE / Claude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1. Účel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Dokument stanovuje měřitelné cíle bezpečnosti informací dle ČSN EN ISO/IEC 27001:2022 (kap. 6.2). Plnění vyhodnocuje manažer ISMS a předkládá při přezkoumání vedením (DOC-17).</w:t>
      </w:r>
    </w:p>
    <w:p>
      <w:pPr>
        <w:pStyle w:val="Heading1"/>
      </w:pPr>
      <w:r>
        <w:t xml:space="preserve">2. Cíle a metriky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326"/>
        <w:gridCol w:w="1300"/>
        <w:gridCol w:w="1300"/>
      </w:tblGrid>
      <w:tr>
        <w:trPr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Cíl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Metrika a cílová hodnota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Frekvence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Odpovědný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Žádné neošetřené významné riziko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Počet rizik ≥15 bez opatření/akceptace = 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Čtvrtletně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Manažer ISMS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Vícefaktorové ověření přístupů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Podíl účtů s MFA = 100 %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Čtvrtletně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Správa IT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Spolehlivé zálohy a obnova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Denní záloha (03:00); úspěšný test obnovy ≥ 1×/měsíc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Měsíčně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Správa IT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Včasná reakce na incident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Kritický incident podchycen do 4 h od zjištění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Dle výskytu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Manažer ISMS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Řízené přístupy lidí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Onboarding/offboarding do 24 h = 100 %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Průběžně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HR + Správa IT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Pravidelná kontrola ISMS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Interní audit a přezkoumání vedením ≥ 1×/rok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Ročně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Manažer ISMS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Bezpečnostní povědomí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Poučení 100 % zaměstnanců ≥ 1×/rok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Ročně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Správa zranitelností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Kritické zranitelnosti opraveny do 1 dne (v rámci dne)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Měsíčně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Správa IT</w:t>
            </w:r>
          </w:p>
        </w:tc>
      </w:tr>
    </w:tbl>
    <w:p>
      <w:pPr>
        <w:pStyle w:val="Heading1"/>
      </w:pPr>
      <w:r>
        <w:t xml:space="preserve">3. Vyhodnocování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Cíle se vyhodnocují ve stanovené frekvenci. Nesplnění se řeší jako podnět ke zlepšení, případně neshoda (DOC-18). Cíle se aktualizují nejméně jednou ročně.</w:t>
      </w:r>
    </w:p>
    <w:p>
      <w:pPr>
        <w:pStyle w:val="Heading1"/>
      </w:pPr>
      <w:r>
        <w:t xml:space="preserve">4. Schválení</w:t>
      </w:r>
    </w:p>
    <w:p>
      <w:pPr>
        <w:spacing w:after="0" w:line="264"/>
      </w:pPr>
      <w:r>
        <w:rPr>
          <w:b w:val="false"/>
          <w:bCs w:val="false"/>
          <w:i w:val="false"/>
          <w:iCs w:val="false"/>
        </w:rPr>
        <w:t xml:space="preserve">Schválil: Marti Pašek, jednatel             Datum: 15. 8. 2026             Podpis: ............................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6" w:space="4"/>
      </w:pBdr>
      <w:tabs>
        <w:tab w:val="right" w:pos="9026"/>
      </w:tabs>
    </w:pPr>
    <w:r>
      <w:rPr>
        <w:color w:val="666666"/>
        <w:sz w:val="15"/>
        <w:szCs w:val="15"/>
      </w:rPr>
      <w:t xml:space="preserve">Cíle informační bezpečnosti  ·  verze 0.1</w:t>
    </w:r>
    <w:r>
      <w:rPr>
        <w:color w:val="666666"/>
        <w:sz w:val="15"/>
        <w:szCs w:val="15"/>
      </w:rPr>
      <w:t xml:space="preserve">	Strana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STRATEGIE - System s.r.o.</w:t>
    </w:r>
    <w:r>
      <w:rPr>
        <w:color w:val="666666"/>
        <w:sz w:val="16"/>
        <w:szCs w:val="16"/>
      </w:rPr>
      <w:t xml:space="preserve">	DOC-08  ·  Klasifikace: Interní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Arial" w:cs="Arial" w:eastAsia="Arial" w:hAnsi="Arial"/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4A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2026-06-17T14:45:09.297Z</dcterms:created>
  <dcterms:modified xsi:type="dcterms:W3CDTF">2026-06-17T14:45:09.297Z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