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666666"/>
          <w:sz w:val="22"/>
          <w:szCs w:val="22"/>
        </w:rPr>
        <w:t xml:space="preserve">DOC-10</w:t>
      </w:r>
    </w:p>
    <w:p>
      <w:pPr>
        <w:pStyle w:val="Title"/>
      </w:pPr>
      <w:r>
        <w:t xml:space="preserve">Postup řízení bezpečnostních incidentů</w:t>
      </w:r>
    </w:p>
    <w:p>
      <w:pPr>
        <w:spacing w:after="30"/>
      </w:pPr>
      <w:r>
        <w:rPr>
          <w:color w:val="666666"/>
          <w:sz w:val="22"/>
          <w:szCs w:val="22"/>
        </w:rPr>
        <w:t xml:space="preserve">STRATEGIE - System s.r.o. — Systém řízení bezpečnosti informací (ISMS)</w:t>
      </w:r>
    </w:p>
    <w:p>
      <w:pPr>
        <w:spacing w:after="200"/>
      </w:pPr>
      <w:r>
        <w:rPr>
          <w:color w:val="666666"/>
          <w:sz w:val="18"/>
          <w:szCs w:val="18"/>
        </w:rPr>
        <w:t xml:space="preserve">IČO 23365544 · Nad Týncem 1192/10, Doubravka, 312 00 Plzeň · sp. zn. C 46859, KS v Plzni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Kód dokumentu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DOC-10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Verze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0.1 (návrh)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Datum vydání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15. 8. 2026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Klasifikace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Interní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Vlastník dokumentu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Marti Pašek (jednatel)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Schválil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Marti Pašek (jednatel)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Platnost od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15. 8. 2026</w:t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b/>
          <w:bCs/>
          <w:color w:val="666666"/>
          <w:sz w:val="20"/>
          <w:szCs w:val="20"/>
        </w:rPr>
        <w:t xml:space="preserve">Historie revizí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3826"/>
        <w:gridCol w:w="2000"/>
      </w:tblGrid>
      <w:tr>
        <w:trPr>
          <w:tblHeader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Verze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Datum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Popis změny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Autor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0.1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15. 8. 2026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Prvotní návrh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STRATEGIE / Claude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t xml:space="preserve">1. Účel a rozsah</w:t>
      </w:r>
    </w:p>
    <w:p>
      <w:pPr>
        <w:spacing w:after="120" w:line="264"/>
      </w:pPr>
      <w:r>
        <w:rPr>
          <w:b w:val="false"/>
          <w:bCs w:val="false"/>
          <w:i w:val="false"/>
          <w:iCs w:val="false"/>
        </w:rPr>
        <w:t xml:space="preserve">Postup stanovuje, jak hlásit, posuzovat a řešit bezpečnostní události a incidenty ve společnosti STRATEGIE - System s.r.o. Pokrývá opatření A.5.24–A.5.28 a A.6.8 přílohy A.</w:t>
      </w:r>
    </w:p>
    <w:p>
      <w:pPr>
        <w:pStyle w:val="Heading1"/>
      </w:pPr>
      <w:r>
        <w:t xml:space="preserve">2. Definice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Bezpečnostní událost — zjištěný stav, který může znamenat narušení bezpečnosti (např. podezřelé přihlášení).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Bezpečnostní incident — událost s reálným dopadem na důvěrnost, integritu nebo dostupnost informací.</w:t>
      </w:r>
    </w:p>
    <w:p>
      <w:pPr>
        <w:pStyle w:val="Heading1"/>
      </w:pPr>
      <w:r>
        <w:t xml:space="preserve">3. Hlášení</w:t>
      </w:r>
    </w:p>
    <w:p>
      <w:pPr>
        <w:spacing w:after="120" w:line="264"/>
      </w:pPr>
      <w:r>
        <w:rPr>
          <w:b w:val="false"/>
          <w:bCs w:val="false"/>
          <w:i w:val="false"/>
          <w:iCs w:val="false"/>
        </w:rPr>
        <w:t xml:space="preserve">Každý zaměstnanec a spolupracovník je povinen neprodleně nahlásit podezření na událost nebo incident manažerovi ISMS, a to bez obav z postihu za samotné nahlášení. Hlášení lze podat i přímo v aplikaci (zpráva / urgentní upozornění).</w:t>
      </w:r>
    </w:p>
    <w:p>
      <w:pPr>
        <w:pStyle w:val="Heading1"/>
      </w:pPr>
      <w:r>
        <w:t xml:space="preserve">4. Klasifikace a reakce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200"/>
        <w:gridCol w:w="4126"/>
      </w:tblGrid>
      <w:tr>
        <w:trPr>
          <w:tblHeader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Závažnost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Příklad</w:t>
            </w:r>
          </w:p>
        </w:tc>
        <w:tc>
          <w:tcPr>
            <w:tcW w:type="dxa" w:w="4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Reakce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Kritická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Únik osobních/mzdových dat, výpadek produkce</w:t>
            </w:r>
          </w:p>
        </w:tc>
        <w:tc>
          <w:tcPr>
            <w:tcW w:type="dxa" w:w="4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Okamžitě; podchytit do 4 h, zapojit vedení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Vysoká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Kompromitace účtu, malware</w:t>
            </w:r>
          </w:p>
        </w:tc>
        <w:tc>
          <w:tcPr>
            <w:tcW w:type="dxa" w:w="4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Řešit týž den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Nízká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Ojedinělá podezřelá aktivita bez dopadu</w:t>
            </w:r>
          </w:p>
        </w:tc>
        <w:tc>
          <w:tcPr>
            <w:tcW w:type="dxa" w:w="4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Zaznamenat, sledovat</w:t>
            </w:r>
          </w:p>
        </w:tc>
      </w:tr>
    </w:tbl>
    <w:p>
      <w:pPr>
        <w:pStyle w:val="Heading1"/>
      </w:pPr>
      <w:r>
        <w:t xml:space="preserve">5. Postup řešení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Zaznamenání — incident se eviduje (čas, popis, dotčená aktiva).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Zadržení a náprava — omezení dopadu (odebrání přístupu, izolace), obnova ze zálohy je-li třeba.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Vyšetření — využití neměnného audit logu pro zjištění příčiny a rozsahu.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Oznámení — při úniku osobních údajů posouzení ohlašovací povinnosti dle GDPR (ÚOOÚ, dotčené osoby) — [DOPLNIT lhůty 72 h].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Uzavření a poučení — záznam ponaučení, případně nápravné opatření (DOC-18).</w:t>
      </w:r>
    </w:p>
    <w:p>
      <w:pPr>
        <w:pStyle w:val="Heading1"/>
      </w:pPr>
      <w:r>
        <w:t xml:space="preserve">6. Kontakty</w:t>
      </w:r>
    </w:p>
    <w:p>
      <w:pPr>
        <w:spacing w:after="120" w:line="264"/>
      </w:pPr>
      <w:r>
        <w:rPr>
          <w:b w:val="false"/>
          <w:bCs w:val="false"/>
          <w:i w:val="false"/>
          <w:iCs w:val="false"/>
        </w:rPr>
        <w:t xml:space="preserve">Manažer ISMS: Marti Pašek. Důležité kontakty (ÚOOÚ, Policie ČR, NÚKIB, cloud poskytovatel): [DOPLNIT].</w:t>
      </w:r>
    </w:p>
    <w:p>
      <w:pPr>
        <w:pStyle w:val="Heading1"/>
      </w:pPr>
      <w:r>
        <w:t xml:space="preserve">7. Schválení</w:t>
      </w:r>
    </w:p>
    <w:p>
      <w:pPr>
        <w:spacing w:after="0" w:line="264"/>
      </w:pPr>
      <w:r>
        <w:rPr>
          <w:b w:val="false"/>
          <w:bCs w:val="false"/>
          <w:i w:val="false"/>
          <w:iCs w:val="false"/>
        </w:rPr>
        <w:t xml:space="preserve">Schválil: Marti Pašek, jednatel             Datum: 15. 8. 2026             Podpis: ............................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BBBBB" w:sz="6" w:space="4"/>
      </w:pBdr>
      <w:tabs>
        <w:tab w:val="right" w:pos="9026"/>
      </w:tabs>
    </w:pPr>
    <w:r>
      <w:rPr>
        <w:color w:val="666666"/>
        <w:sz w:val="15"/>
        <w:szCs w:val="15"/>
      </w:rPr>
      <w:t xml:space="preserve">Postup řízení bezpečnostních incidentů  ·  verze 0.1</w:t>
    </w:r>
    <w:r>
      <w:rPr>
        <w:color w:val="666666"/>
        <w:sz w:val="15"/>
        <w:szCs w:val="15"/>
      </w:rPr>
      <w:t xml:space="preserve">	Strana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A5F" w:sz="6" w:space="4"/>
      </w:pBdr>
      <w:tabs>
        <w:tab w:val="right" w:pos="9026"/>
      </w:tabs>
    </w:pPr>
    <w:r>
      <w:rPr>
        <w:color w:val="666666"/>
        <w:sz w:val="16"/>
        <w:szCs w:val="16"/>
      </w:rPr>
      <w:t xml:space="preserve">STRATEGIE - System s.r.o.</w:t>
    </w:r>
    <w:r>
      <w:rPr>
        <w:color w:val="666666"/>
        <w:sz w:val="16"/>
        <w:szCs w:val="16"/>
      </w:rPr>
      <w:t xml:space="preserve">	DOC-10  ·  Klasifikace: Interní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 w:before="0"/>
    </w:pPr>
    <w:rPr>
      <w:rFonts w:ascii="Arial" w:cs="Arial" w:eastAsia="Arial" w:hAnsi="Arial"/>
      <w:b/>
      <w:bCs/>
      <w:color w:val="1F3A5F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4A6B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2026-06-17T14:39:15.103Z</dcterms:created>
  <dcterms:modified xsi:type="dcterms:W3CDTF">2026-06-17T14:39:15.103Z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