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DOC-18</w:t>
      </w:r>
    </w:p>
    <w:p>
      <w:pPr>
        <w:pStyle w:val="Title"/>
      </w:pPr>
      <w:r>
        <w:t xml:space="preserve">Neshody a nápravná opatření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postup pro řešení neshod a uplatňování nápravných opatření v ISMS společnosti STRATEGIE - System s.r.o. (kapitola 10.2 ČSN EN ISO/IEC 27001:2022). Slouží zároveň jako evidence (log).</w:t>
      </w:r>
    </w:p>
    <w:p>
      <w:pPr>
        <w:pStyle w:val="Heading1"/>
      </w:pPr>
      <w:r>
        <w:t xml:space="preserve">2. Postup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Zaznamenání neshody — co se stalo, kde a kdy byla zjištěna (audit, incident, provoz).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Okamžitá reakce — zvládnutí a náprava bezprostředního důsledku.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Analýza příčiny — zjištění kořenové příčiny, posouzení, zda se neshoda vyskytuje i jinde.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Nápravné opatření — opatření odstraňující příčinu, s odpovědností a termínem.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Ověření účinnosti — kontrola, že opatření zabránilo opakování; uzavření.</w:t>
      </w:r>
    </w:p>
    <w:p>
      <w:pPr>
        <w:pStyle w:val="Heading1"/>
      </w:pPr>
      <w:r>
        <w:t xml:space="preserve">3. Evidence neshod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800"/>
        <w:gridCol w:w="1726"/>
        <w:gridCol w:w="8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neshody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Příčina / opatření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Odpovědný / termín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N-001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N-002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N-003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Vazby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Neshody mohou vzniknout z interního auditu (DOC-16), incidentů (DOC-10) nebo přezkoumání vedením (DOC-17). Stav neshod je vstupem do přezkoumání vedením a do trvalého zlepšování ISMS.</w:t>
      </w:r>
    </w:p>
    <w:p>
      <w:pPr>
        <w:pStyle w:val="Heading1"/>
      </w:pPr>
      <w:r>
        <w:t xml:space="preserve">5.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Neshody a nápravná opatření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DOC-18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2026-06-17T14:39:16.147Z</dcterms:created>
  <dcterms:modified xsi:type="dcterms:W3CDTF">2026-06-17T14:39:16.147Z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