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6B7480"/>
          <w:sz w:val="18"/>
          <w:szCs w:val="18"/>
        </w:rPr>
        <w:t xml:space="preserve">EUROSOFT-Control s.r.o.</w:t>
      </w:r>
    </w:p>
    <w:p>
      <w:pPr>
        <w:pBdr>
          <w:bottom w:val="single" w:color="1F4B8E" w:sz="6" w:space="6"/>
        </w:pBdr>
        <w:spacing w:after="160"/>
      </w:pPr>
      <w:r>
        <w:rPr>
          <w:rFonts w:ascii="Calibri" w:cs="Calibri" w:eastAsia="Calibri" w:hAnsi="Calibri"/>
          <w:color w:val="6B7480"/>
          <w:sz w:val="16"/>
          <w:szCs w:val="16"/>
        </w:rPr>
        <w:t xml:space="preserve">Interní zápis · management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2233"/>
          <w:sz w:val="30"/>
          <w:szCs w:val="30"/>
        </w:rPr>
        <w:t xml:space="preserve">Hospodaření zakázek — meziroční srovnání 2025 vs 2026</w:t>
      </w:r>
    </w:p>
    <w:p>
      <w:pPr>
        <w:spacing w:after="200"/>
      </w:pPr>
      <w:r>
        <w:rPr>
          <w:rFonts w:ascii="Calibri" w:cs="Calibri" w:eastAsia="Calibri" w:hAnsi="Calibri"/>
          <w:color w:val="6B7480"/>
          <w:sz w:val="18"/>
          <w:szCs w:val="18"/>
        </w:rPr>
        <w:t xml:space="preserve">Zdroj: EC Helios, přehled č. 7005 (EC_ZakazkyZisk) · stav k 10. 7. 2026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Kolegové, na žádost Radka jsme porovnali hospodaření našich zakázek za letošní a loňský rok — zda jsme na tom lépe, nebo hůře. Aby bylo srovnání férové (rok 2026 zatím pokrývá jen polovinu roku), porovnáváme stejné období: leden až červenec.</w:t>
      </w:r>
    </w:p>
    <w:tbl>
      <w:tblPr>
        <w:tblW w:type="dxa" w:w="9000"/>
        <w:tblBorders>
          <w:top w:val="single" w:color="BFE6CF" w:sz="6"/>
          <w:left w:val="single" w:color="BFE6CF" w:sz="6"/>
          <w:bottom w:val="single" w:color="BFE6CF" w:sz="6"/>
          <w:right w:val="single" w:color="BFE6CF" w:sz="6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7F6EE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8A4F"/>
                <w:sz w:val="24"/>
                <w:szCs w:val="24"/>
              </w:rPr>
              <w:t xml:space="preserve">Závěr: jsme na tom výrazně lépe než loni.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Za srovnatelné pololetí (leden–červenec) letos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zisk vzrostl téměř čtyřnásobně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(z 4,8 na 19,0 mil. Kč) 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zisková marže se prakticky ztrojnásobila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(z 8,8 % na 22,5 %). Realizujeme méně, ale výrazně větších a ziskovějších zakázek. Za pouhé pololetí 2026 jsme již překonali zisk celého roku 2025 (14,8 mil. Kč).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F4B8E"/>
          <w:sz w:val="24"/>
          <w:szCs w:val="24"/>
        </w:rPr>
        <w:t xml:space="preserve">Srovnání klíčových ukazatelů</w:t>
      </w:r>
    </w:p>
    <w:tbl>
      <w:tblPr>
        <w:tblW w:type="dxa" w:w="9000"/>
        <w:tblBorders>
          <w:top w:val="single" w:color="D8DEE7" w:sz="4"/>
          <w:left w:val="none"/>
          <w:bottom w:val="single" w:color="D8DEE7" w:sz="4"/>
          <w:right w:val="none"/>
          <w:insideH w:val="single" w:color="D8DEE7" w:sz="4"/>
          <w:insideV w:val="none"/>
        </w:tblBorders>
      </w:tblPr>
      <w:tblGrid>
        <w:gridCol w:w="4050"/>
        <w:gridCol w:w="1550"/>
        <w:gridCol w:w="1550"/>
        <w:gridCol w:w="1850"/>
      </w:tblGrid>
      <w:tr>
        <w:tc>
          <w:tcPr>
            <w:tcW w:type="dxa" w:w="4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B7480"/>
                <w:sz w:val="20"/>
                <w:szCs w:val="20"/>
              </w:rPr>
              <w:t xml:space="preserve">Ukazatel (leden–červenec)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B7480"/>
                <w:sz w:val="20"/>
                <w:szCs w:val="20"/>
              </w:rPr>
              <w:t xml:space="preserve">2025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B7480"/>
                <w:sz w:val="20"/>
                <w:szCs w:val="20"/>
              </w:rPr>
              <w:t xml:space="preserve">2026</w:t>
            </w:r>
          </w:p>
        </w:tc>
        <w:tc>
          <w:tcPr>
            <w:tcW w:type="dxa" w:w="1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B7480"/>
                <w:sz w:val="20"/>
                <w:szCs w:val="20"/>
              </w:rPr>
              <w:t xml:space="preserve">Změna</w:t>
            </w:r>
          </w:p>
        </w:tc>
      </w:tr>
      <w:tr>
        <w:tc>
          <w:tcPr>
            <w:tcW w:type="dxa" w:w="4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Počet zakázek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245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2233"/>
                <w:sz w:val="20"/>
                <w:szCs w:val="20"/>
              </w:rPr>
              <w:t xml:space="preserve">219</w:t>
            </w:r>
          </w:p>
        </w:tc>
        <w:tc>
          <w:tcPr>
            <w:tcW w:type="dxa" w:w="1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−11 %</w:t>
            </w:r>
          </w:p>
        </w:tc>
      </w:tr>
      <w:tr>
        <w:tc>
          <w:tcPr>
            <w:tcW w:type="dxa" w:w="4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Výnosy celkem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54,5 mil. Kč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2233"/>
                <w:sz w:val="20"/>
                <w:szCs w:val="20"/>
              </w:rPr>
              <w:t xml:space="preserve">84,3 mil. Kč</w:t>
            </w:r>
          </w:p>
        </w:tc>
        <w:tc>
          <w:tcPr>
            <w:tcW w:type="dxa" w:w="1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8A4F"/>
                <w:sz w:val="20"/>
                <w:szCs w:val="20"/>
              </w:rPr>
              <w:t xml:space="preserve">+55 %</w:t>
            </w:r>
          </w:p>
        </w:tc>
      </w:tr>
      <w:tr>
        <w:tc>
          <w:tcPr>
            <w:tcW w:type="dxa" w:w="4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Náklady celkem (pevné)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49,7 mil. Kč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2233"/>
                <w:sz w:val="20"/>
                <w:szCs w:val="20"/>
              </w:rPr>
              <w:t xml:space="preserve">65,3 mil. Kč</w:t>
            </w:r>
          </w:p>
        </w:tc>
        <w:tc>
          <w:tcPr>
            <w:tcW w:type="dxa" w:w="1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+31 %</w:t>
            </w:r>
          </w:p>
        </w:tc>
      </w:tr>
      <w:tr>
        <w:tc>
          <w:tcPr>
            <w:tcW w:type="dxa" w:w="4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Zisk (pevný)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4,78 mil. Kč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2233"/>
                <w:sz w:val="20"/>
                <w:szCs w:val="20"/>
              </w:rPr>
              <w:t xml:space="preserve">19,0 mil. Kč</w:t>
            </w:r>
          </w:p>
        </w:tc>
        <w:tc>
          <w:tcPr>
            <w:tcW w:type="dxa" w:w="1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8A4F"/>
                <w:sz w:val="20"/>
                <w:szCs w:val="20"/>
              </w:rPr>
              <w:t xml:space="preserve">+298 %</w:t>
            </w:r>
          </w:p>
        </w:tc>
      </w:tr>
      <w:tr>
        <w:tc>
          <w:tcPr>
            <w:tcW w:type="dxa" w:w="4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Zisková marže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8,8 %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2233"/>
                <w:sz w:val="20"/>
                <w:szCs w:val="20"/>
              </w:rPr>
              <w:t xml:space="preserve">22,5 %</w:t>
            </w:r>
          </w:p>
        </w:tc>
        <w:tc>
          <w:tcPr>
            <w:tcW w:type="dxa" w:w="1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8A4F"/>
                <w:sz w:val="20"/>
                <w:szCs w:val="20"/>
              </w:rPr>
              <w:t xml:space="preserve">+13,7 p.b.</w:t>
            </w:r>
          </w:p>
        </w:tc>
      </w:tr>
      <w:tr>
        <w:tc>
          <w:tcPr>
            <w:tcW w:type="dxa" w:w="4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Zisk na zakázku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19,5 tis. Kč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2233"/>
                <w:sz w:val="20"/>
                <w:szCs w:val="20"/>
              </w:rPr>
              <w:t xml:space="preserve">86,8 tis. Kč</w:t>
            </w:r>
          </w:p>
        </w:tc>
        <w:tc>
          <w:tcPr>
            <w:tcW w:type="dxa" w:w="1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8A4F"/>
                <w:sz w:val="20"/>
                <w:szCs w:val="20"/>
              </w:rPr>
              <w:t xml:space="preserve">+345 %</w:t>
            </w:r>
          </w:p>
        </w:tc>
      </w:tr>
      <w:tr>
        <w:tc>
          <w:tcPr>
            <w:tcW w:type="dxa" w:w="4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Výnos na kalkulační hodinu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2 107 Kč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2233"/>
                <w:sz w:val="20"/>
                <w:szCs w:val="20"/>
              </w:rPr>
              <w:t xml:space="preserve">3 615 Kč</w:t>
            </w:r>
          </w:p>
        </w:tc>
        <w:tc>
          <w:tcPr>
            <w:tcW w:type="dxa" w:w="1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8A4F"/>
                <w:sz w:val="20"/>
                <w:szCs w:val="20"/>
              </w:rPr>
              <w:t xml:space="preserve">+72 %</w:t>
            </w:r>
          </w:p>
        </w:tc>
      </w:tr>
      <w:tr>
        <w:tc>
          <w:tcPr>
            <w:tcW w:type="dxa" w:w="4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Zisk na kalkulační hodinu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185 Kč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2233"/>
                <w:sz w:val="20"/>
                <w:szCs w:val="20"/>
              </w:rPr>
              <w:t xml:space="preserve">815 Kč</w:t>
            </w:r>
          </w:p>
        </w:tc>
        <w:tc>
          <w:tcPr>
            <w:tcW w:type="dxa" w:w="1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8A4F"/>
                <w:sz w:val="20"/>
                <w:szCs w:val="20"/>
              </w:rPr>
              <w:t xml:space="preserve">+340 %</w:t>
            </w:r>
          </w:p>
        </w:tc>
      </w:tr>
      <w:tr>
        <w:tc>
          <w:tcPr>
            <w:tcW w:type="dxa" w:w="4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Reálné / kalkulované hodiny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1,20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2233"/>
                <w:sz w:val="20"/>
                <w:szCs w:val="20"/>
              </w:rPr>
              <w:t xml:space="preserve">1,13</w:t>
            </w:r>
          </w:p>
        </w:tc>
        <w:tc>
          <w:tcPr>
            <w:tcW w:type="dxa" w:w="1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8A4F"/>
                <w:sz w:val="20"/>
                <w:szCs w:val="20"/>
              </w:rPr>
              <w:t xml:space="preserve">lepší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F4B8E"/>
          <w:sz w:val="24"/>
          <w:szCs w:val="24"/>
        </w:rPr>
        <w:t xml:space="preserve">Co z toho plyne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Nejde jen o objem. I když jsme letos přijali </w:t>
      </w:r>
      <w:r>
        <w:rPr>
          <w:rFonts w:ascii="Calibri" w:cs="Calibri" w:eastAsia="Calibri" w:hAnsi="Calibri"/>
          <w:b/>
          <w:bCs/>
        </w:rPr>
        <w:t xml:space="preserve">méně zakázek</w:t>
      </w:r>
      <w:r>
        <w:rPr>
          <w:rFonts w:ascii="Calibri" w:cs="Calibri" w:eastAsia="Calibri" w:hAnsi="Calibri"/>
        </w:rPr>
        <w:t xml:space="preserve"> (219 oproti 245), jejich celkové výnosy jsou o </w:t>
      </w:r>
      <w:r>
        <w:rPr>
          <w:rFonts w:ascii="Calibri" w:cs="Calibri" w:eastAsia="Calibri" w:hAnsi="Calibri"/>
          <w:b/>
          <w:bCs/>
        </w:rPr>
        <w:t xml:space="preserve">55 % vyšší</w:t>
      </w:r>
      <w:r>
        <w:rPr>
          <w:rFonts w:ascii="Calibri" w:cs="Calibri" w:eastAsia="Calibri" w:hAnsi="Calibri"/>
        </w:rPr>
        <w:t xml:space="preserve"> — realizujeme tedy zakázky s vyšší hodnotou. Rozhodující je ale ziskovost: zisková marže vzrostla z 8,8 % na </w:t>
      </w:r>
      <w:r>
        <w:rPr>
          <w:rFonts w:ascii="Calibri" w:cs="Calibri" w:eastAsia="Calibri" w:hAnsi="Calibri"/>
          <w:b/>
          <w:bCs/>
        </w:rPr>
        <w:t xml:space="preserve">22,5 %</w:t>
      </w:r>
      <w:r>
        <w:rPr>
          <w:rFonts w:ascii="Calibri" w:cs="Calibri" w:eastAsia="Calibri" w:hAnsi="Calibri"/>
        </w:rPr>
        <w:t xml:space="preserve">, tedy prakticky trojnásobně, a zisk na jednu zakázku se zvýšil z 19,5 tis. na 86,8 tis. Kč.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Zlepšila se i </w:t>
      </w:r>
      <w:r>
        <w:rPr>
          <w:rFonts w:ascii="Calibri" w:cs="Calibri" w:eastAsia="Calibri" w:hAnsi="Calibri"/>
          <w:b/>
          <w:bCs/>
        </w:rPr>
        <w:t xml:space="preserve">efektivita práce</w:t>
      </w:r>
      <w:r>
        <w:rPr>
          <w:rFonts w:ascii="Calibri" w:cs="Calibri" w:eastAsia="Calibri" w:hAnsi="Calibri"/>
        </w:rPr>
        <w:t xml:space="preserve">: poměr reálně odpracovaných hodin ke kalkulovaným klesl z 1,20 na 1,13 — zakázky se drží blíž kalkulaci a méně „přesluhují“. Tomu odpovídá i skok zisku na kalkulační hodinu ze 185 na 815 Kč.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Celkově tak platí, že </w:t>
      </w:r>
      <w:r>
        <w:rPr>
          <w:rFonts w:ascii="Calibri" w:cs="Calibri" w:eastAsia="Calibri" w:hAnsi="Calibri"/>
          <w:b/>
          <w:bCs/>
        </w:rPr>
        <w:t xml:space="preserve">za pouhé první pololetí 2026 (zisk 19,0 mil. Kč) jsme překonali zisk celého roku 2025 (14,8 mil. Kč).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F4B8E"/>
          <w:sz w:val="24"/>
          <w:szCs w:val="24"/>
        </w:rPr>
        <w:t xml:space="preserve">Metodika a poznámky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Zakázky jsou členěny podle roku poslední vydané faktury (realizace tržby), protože „datum pořízení“ v Heliosu odráží datum přepočtu / migrace dat, a není proto pro rozdělení podle obchodního roku použitelné; číslo zakázky rok nekóduje. Zisk je uváděn jako „pevný“, tj. s finální (pevnou) režií. Data pocházejí z přehledu EC_ZakazkyZisk (filtr Irelevantní = 0). Údaje za rok 2026 se u dosud otevřených zakázek mohou ještě mírně doúčtovat.</w:t>
      </w:r>
    </w:p>
    <w:p>
      <w:pPr>
        <w:pBdr>
          <w:top w:val="single" w:color="D8DEE7" w:sz="4" w:space="8"/>
        </w:pBdr>
        <w:spacing w:before="300"/>
      </w:pPr>
      <w:r>
        <w:rPr>
          <w:rFonts w:ascii="Calibri" w:cs="Calibri" w:eastAsia="Calibri" w:hAnsi="Calibri"/>
          <w:i/>
          <w:iCs/>
          <w:color w:val="6B7480"/>
          <w:sz w:val="16"/>
          <w:szCs w:val="16"/>
        </w:rPr>
        <w:t xml:space="preserve">Podklad zpracován 10. 7. 2026 nad daty EC Heliosu. Pro případný rozpad po měsících, střediscích nebo řešitelích lze přehled doplnit.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2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Hospodaření zakázek — meziroční srovnání</dc:title>
  <dc:creator>EUROSOFT-Control s.r.o.</dc:creator>
  <cp:lastModifiedBy>Un-named</cp:lastModifiedBy>
  <cp:revision>1</cp:revision>
  <dcterms:created xsi:type="dcterms:W3CDTF">2026-07-10T13:14:35.554Z</dcterms:created>
  <dcterms:modified xsi:type="dcterms:W3CDTF">2026-07-10T13:14:35.569Z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