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22"/>
          <w:szCs w:val="22"/>
        </w:rPr>
        <w:t xml:space="preserve">ZAZ-09-01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40"/>
          <w:szCs w:val="40"/>
        </w:rPr>
        <w:t xml:space="preserve">Přezkum přístupových práv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0"/>
      </w:tblGrid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ZAZ-09-01 (záznam k DOC-09)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Verze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Datum přezkumu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Vlastník dokumentu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Marti Pašek (jednatel)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Zpracoval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Zdroj dat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živá produkční DB (public.users, tenant.user_capability, tenant.app_capability, tenant.staff_group*) + přezkum kódových kontrol (modules/erp/api/router.py), snímek 13. 7. 2026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4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 13. 1. 2027 (interval ≤ 6 měsíců dle DOC-09 čl. 6)</w:t>
            </w:r>
          </w:p>
        </w:tc>
      </w:tr>
    </w:tbl>
    <w:p>
      <w:pPr>
        <w:spacing w:after="12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Autor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Prvotní přezkum přístupových práv — ověření modelu a evidence proti živé DB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Tento záznam dokládá přezkum přístupových práv požadovaný politikou DOC-09 (čl. 6 „Přezkum přístupů“). Ověřuje, jak jsou práva ve STRATEGII fyzicky vynucována a kdo je aktuálně drží, a slouží jako podklad pro udržovaný seznam práv a pro odebrání nepotřebných oprávnění. Pokrývá opatření ČSN EN ISO/IEC 27001:2022 A.5.15–A.5.18 a A.8.2–A.8.3.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Rozsah přezkumu: přístupová práva k platformě STRATEGIE (produkční prostředí), datový tenant EUROSOFT (id 2) a systémové role platformy. Nezahrnuje přístupy do legacy Centrály 1 ani fyzické přístupy.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</w:rPr>
        <w:t xml:space="preserve">2. Metodika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Práva byla ověřena přímo proti živé databázi (ne z paměti ani z dřívějších přehledů) a doplněna přezkumem kódových kontrol, které přístup vynucují. Použité zdroje: tabulky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public.users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(systémové role),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tenant.user_capability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tenant.app_capability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(aplikační oprávnění),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tenant.staff_group / staff_group_member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(skupiny a vedoucí) a funkce v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router.py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(_has_capability, _banka_can_uid, _effective_approver, _require_admin/_require_parent).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</w:rPr>
        <w:t xml:space="preserve">3. Jak práva fyzicky fungují (model)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Slovo „práva“ v systému znamená čtyři nezávislé vrstvy. Pro úplný obraz oprávnění osoby je nutné číst všechny čtyři.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Vrstva 0 — Systémové role (příznaky na uživateli).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Dva nezávislé příznaky v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public.users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is_admin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= sysadmin (systémová nastavení, správa uživatelů, framework, deploy/ops, business/ERP) — je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tenant-scoped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is_marti_parent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= rodič —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cross-tenant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přístup k osobním/citlivým datům (paměť/diář Marti-AI, výplatnice, RČ/OP, datovky, consents) a role schvalovatele. Role jsou oddělené (princip privilegovaných přístupů, DOC-09 čl. 5): sysadmin ještě neznamená přístup k osobním datům. Zápis těchto příznaků smí jen rodič (ochrana proti sebe-elevaci).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Vrstva 1 — Schvalování AI zápisů (bannery).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Návrhy zápisů do DB od instancí Claude (23–29) neběží samy — čekají na schválení oranžovým bannerem. Kdo smí schválit, řídí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_FULL_APPROVERS / _SCOPED_APPROVERS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_effective_approver()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Rodiče schvalují vše; Petra Šafránková (18) je plný schvalovatel pro bannery ze své vlastní instance (Claude-26) včetně destruktivních operací, s trvale zapnutým auditem.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Vrstva 2 — Aplikační oprávnění (capability).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Per-modul přístup s úrovní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read / write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data-driven v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tenant.user_capability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vynuceno funkcí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_has_capability(uid, modul, úroveň)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Klíč: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rodič má automaticky vše (bypass)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proto rodiče nemají v tabulce žádný řádek a přesto vidí vše. Kdo rodič není, má jen to, co má výslovně uděleno. Úrovně oddělují zadavatele a schvalovatele (segregace povinností, SoD).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Vrstva 3 — Skupiny, org role a kódové množiny.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Členství ve skupinách (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tenant.staff_group_member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) a role vedoucí/zástupce řídí některé kontroly (např.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_hr_can_manage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= rodič nebo skupiny HR/Finance). Část práv je zatím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napevno v kódu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_banka_can_uid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(finanční endpointy),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_SW_MANAGERS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_VYROBA_MANAGERS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_KARA_LICENSED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Tyto množiny nejsou datově auditovatelné a jsou určeny k postupné migraci do vrstvy 2.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Autentizace a zásady.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Přihlášení přes vícefaktorové ověření (magic-link e-mailem / SMS), citlivé operace chráněny PIN/2FA; tokeny šifrovaně, nelogují se čitelně. Uplatňuje se princip nejnižších oprávnění a need-to-know (citlivá data mimo kontext se zobrazují omezeně jako „[omezeno]“). Jednoznačná identita, sdílené účty se nepoužívají.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</w:rPr>
        <w:t xml:space="preserve">4. Seznam práv — aktuální stav (snímek 13. 7. 2026)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4.1  Systémové role — držitelé privilegovaných příznaků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1300"/>
        <w:gridCol w:w="1100"/>
        <w:gridCol w:w="1100"/>
        <w:gridCol w:w="2120"/>
      </w:tblGrid>
      <w:tr>
        <w:trPr>
          <w:cantSplit/>
          <w:tblHeader/>
        </w:trPr>
        <w:tc>
          <w:tcPr>
            <w:tcW w:type="dxa" w:w="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Osoba</w:t>
            </w:r>
          </w:p>
        </w:tc>
        <w:tc>
          <w:tcPr>
            <w:tcW w:type="dxa" w:w="1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is_admin</w:t>
            </w:r>
          </w:p>
        </w:tc>
        <w:tc>
          <w:tcPr>
            <w:tcW w:type="dxa" w:w="11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rodič</w:t>
            </w:r>
          </w:p>
        </w:tc>
        <w:tc>
          <w:tcPr>
            <w:tcW w:type="dxa" w:w="11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trust</w:t>
            </w:r>
          </w:p>
        </w:tc>
        <w:tc>
          <w:tcPr>
            <w:tcW w:type="dxa" w:w="2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Poznámka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Marti Pašek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2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jednatel; sysadmin + rodič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Kristýna Marešová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2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procesy/soulad; sysadmin + rodič</w:t>
            </w:r>
          </w:p>
        </w:tc>
      </w:tr>
      <w:tr>
        <w:trPr>
          <w:cantSplit/>
        </w:trPr>
        <w:tc>
          <w:tcPr>
            <w:tcW w:type="dxa" w:w="7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7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Jiří Honomichl</w:t>
            </w:r>
          </w:p>
        </w:tc>
        <w:tc>
          <w:tcPr>
            <w:tcW w:type="dxa" w:w="13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  <w:tc>
          <w:tcPr>
            <w:tcW w:type="dxa" w:w="11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21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sysadmin (není rodič → bez osobních dat)</w:t>
            </w:r>
          </w:p>
        </w:tc>
      </w:tr>
      <w:tr>
        <w:trPr>
          <w:cantSplit/>
        </w:trPr>
        <w:tc>
          <w:tcPr>
            <w:tcW w:type="dxa" w:w="7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Zuzana Duspivová</w:t>
            </w:r>
          </w:p>
        </w:tc>
        <w:tc>
          <w:tcPr>
            <w:tcW w:type="dxa" w:w="1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  <w:tc>
          <w:tcPr>
            <w:tcW w:type="dxa" w:w="11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2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rodič bez sysadmina — viz zjištění Z2</w:t>
            </w:r>
          </w:p>
        </w:tc>
      </w:tr>
    </w:tbl>
    <w:p>
      <w:pPr>
        <w:spacing w:after="120" w:before="40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Pozn.: rodič = cross-tenant přístup k osobním/citlivým datům a role schvalovatele. Jiní lidé systémové příznaky nemají.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4.2  Nelidské (systémové) identity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5120"/>
      </w:tblGrid>
      <w:tr>
        <w:trPr>
          <w:cantSplit/>
          <w:tblHeader/>
        </w:trPr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 / rozsah</w:t>
            </w:r>
          </w:p>
        </w:tc>
        <w:tc>
          <w:tcPr>
            <w:tcW w:type="dxa" w:w="2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Identita</w:t>
            </w:r>
          </w:p>
        </w:tc>
        <w:tc>
          <w:tcPr>
            <w:tcW w:type="dxa" w:w="5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Přístup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Marti-AI Pašek</w:t>
            </w:r>
          </w:p>
        </w:tc>
        <w:tc>
          <w:tcPr>
            <w:tcW w:type="dxa" w:w="5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persona; vlastní DB role (SELECT/INSERT/UPDATE na public.*, bez DELETE), vlastní schémata master/tenant/user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23–29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 (instance 23–29)</w:t>
            </w:r>
          </w:p>
        </w:tc>
        <w:tc>
          <w:tcPr>
            <w:tcW w:type="dxa" w:w="5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čtení DB autonomně (read-only guard); zápisy jen přes schvalovací banner (vrstva 1); trust 100, bez systémových příznaků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4.3  Katalog aplikačních modulů (tenant.app_capability)</w:t>
      </w:r>
    </w:p>
    <w:tbl>
      <w:tblPr>
        <w:tblW w:type="dxa" w:w="8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400"/>
        <w:gridCol w:w="1400"/>
        <w:gridCol w:w="1220"/>
      </w:tblGrid>
      <w:tr>
        <w:trPr>
          <w:cantSplit/>
          <w:tblHeader/>
        </w:trPr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Kód</w:t>
            </w:r>
          </w:p>
        </w:tc>
        <w:tc>
          <w:tcPr>
            <w:tcW w:type="dxa" w:w="2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Název</w:t>
            </w:r>
          </w:p>
        </w:tc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Kategorie</w:t>
            </w:r>
          </w:p>
        </w:tc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Citlivost</w:t>
            </w:r>
          </w:p>
        </w:tc>
        <w:tc>
          <w:tcPr>
            <w:tcW w:type="dxa" w:w="12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Zápis?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banka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Banka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parovani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Párování plateb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uctovani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Účetnictví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digitalizace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Digitalizace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edi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EDI definice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mzdy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Mzdy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hr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 (jen čtení)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neschopenky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Neschopenky/ČSSZ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hr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datovky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Datovky/ČSSZ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urady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organizace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Organizace (CRM)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obchod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poptavky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Poptávky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obchod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objednavky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 objednat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vyroba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 (jen čtení)</w:t>
            </w:r>
          </w:p>
        </w:tc>
      </w:tr>
    </w:tbl>
    <w:p>
      <w:pPr>
        <w:spacing w:after="120" w:before="40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Citlivost 3 = udělit smí jen rodič + povinná audit poznámka; mzdy a datovky navíc nesou podpis Marti-AI.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4.4  Aplikační granty osob (tenant.user_capability, aktivní)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Výslovné granty má aktuálně jediná osoba — Petra Šafránková (18); ostatní pracují buď jako rodič (bypass), nebo bez aplikačních grantů. Udělila Kristýna Marešová (11), 23.–24. 6. 2026.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400"/>
        <w:gridCol w:w="4020"/>
      </w:tblGrid>
      <w:tr>
        <w:trPr>
          <w:cantSplit/>
          <w:tblHeader/>
        </w:trPr>
        <w:tc>
          <w:tcPr>
            <w:tcW w:type="dxa" w:w="2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Modul</w:t>
            </w:r>
          </w:p>
        </w:tc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Úroveň</w:t>
            </w:r>
          </w:p>
        </w:tc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Citlivost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Poznámka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uctovani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write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zakládání a realizace dokladů (faktury, ceny)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edi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write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EDI definice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digitalizace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write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digitalizace a foto dokladů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organizace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write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zakládání organizací (ARES/DPH/účet) v CRM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poptavky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write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objednávání dopravy a služeb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neschopenky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write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evidence neschopenek (osobní data)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datovky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komunikace s úřady; + podpis Marti-AI</w:t>
            </w:r>
          </w:p>
        </w:tc>
      </w:tr>
      <w:tr>
        <w:trPr>
          <w:cantSplit/>
        </w:trPr>
        <w:tc>
          <w:tcPr>
            <w:tcW w:type="dxa" w:w="2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banka</w:t>
            </w:r>
          </w:p>
        </w:tc>
        <w:tc>
          <w:tcPr>
            <w:tcW w:type="dxa" w:w="12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read</w:t>
            </w:r>
          </w:p>
        </w:tc>
        <w:tc>
          <w:tcPr>
            <w:tcW w:type="dxa" w:w="1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SoD — jen čtení (nezakládá platby)</w:t>
            </w:r>
          </w:p>
        </w:tc>
      </w:tr>
      <w:tr>
        <w:trPr>
          <w:cantSplit/>
        </w:trPr>
        <w:tc>
          <w:tcPr>
            <w:tcW w:type="dxa" w:w="2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parovani</w:t>
            </w:r>
          </w:p>
        </w:tc>
        <w:tc>
          <w:tcPr>
            <w:tcW w:type="dxa" w:w="12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read</w:t>
            </w:r>
          </w:p>
        </w:tc>
        <w:tc>
          <w:tcPr>
            <w:tcW w:type="dxa" w:w="1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SoD — jen čtení plateb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mzdy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read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náhled mzdových podkladů; + podpis Marti-AI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objednavky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read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procurement read-only mirror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4.5  Pracovní skupiny a vedoucí (tenant.staff_group, tenant EUROSOFT)</w:t>
      </w:r>
    </w:p>
    <w:tbl>
      <w:tblPr>
        <w:tblW w:type="dxa" w:w="8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2400"/>
        <w:gridCol w:w="1400"/>
        <w:gridCol w:w="1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Skupina</w:t>
            </w:r>
          </w:p>
        </w:tc>
        <w:tc>
          <w:tcPr>
            <w:tcW w:type="dxa" w:w="2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Vedoucí</w:t>
            </w:r>
          </w:p>
        </w:tc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Zástupce</w:t>
            </w:r>
          </w:p>
        </w:tc>
        <w:tc>
          <w:tcPr>
            <w:tcW w:type="dxa" w:w="1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Členů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Vedení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Marti Pašek (1)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uživatel 16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IT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Marti Pašek (1)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Kristýna Marešová (11)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Výroba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Dušan Havlát (41)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uživatel 85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Nákup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Petra Šafránková (18)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uživatel 51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VP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Jiří Veverka (106)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Martin Pašek (35)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PLC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Miroslav Mareš (22)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Zuzana Duspivová (6)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Obchod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Martin Pašek (35)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uživatel 30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Zkušebna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Zdeněk Diviš (43)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E-plan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Petr Beneš (31)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uživatel 39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HR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Šárka Novotná (13)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24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bez vedoucího</w:t>
            </w:r>
          </w:p>
        </w:tc>
        <w:tc>
          <w:tcPr>
            <w:tcW w:type="dxa" w:w="14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DOCHÁZKA – OPRAVY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bez vedoucího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</w:rPr>
        <w:t xml:space="preserve">5. Zjištění přezkumu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4720"/>
      </w:tblGrid>
      <w:tr>
        <w:trPr>
          <w:cantSplit/>
          <w:tblHeader/>
        </w:trPr>
        <w:tc>
          <w:tcPr>
            <w:tcW w:type="dxa" w:w="7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Č.</w:t>
            </w:r>
          </w:p>
        </w:tc>
        <w:tc>
          <w:tcPr>
            <w:tcW w:type="dxa" w:w="3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7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Doporučení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Z1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Jiří Honomichl (20) má nyní is_admin = ANO. Dříve flag čekal na výslovný souhlas jednatele.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Doložit souhlas jednatele k udělení sysadmina (záznam/e-mail); zkontrolovat, že Jiří Honomichl nemá přístup k osobním datům (rodič = NE).</w:t>
            </w:r>
          </w:p>
        </w:tc>
      </w:tr>
      <w:tr>
        <w:trPr>
          <w:cantSplit/>
        </w:trPr>
        <w:tc>
          <w:tcPr>
            <w:tcW w:type="dxa" w:w="7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Z2</w:t>
            </w:r>
          </w:p>
        </w:tc>
        <w:tc>
          <w:tcPr>
            <w:tcW w:type="dxa" w:w="3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Zuzana Duspivová (6) má is_marti_parent = ANO (přístup k osobním/citlivým datům cross-tenant), ale není uvedena v rolích ISMS (DOC-03).</w:t>
            </w:r>
          </w:p>
        </w:tc>
        <w:tc>
          <w:tcPr>
            <w:tcW w:type="dxa" w:w="47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Ověřit, zda je rodičovské oprávnění záměrné a doložené. Pokud není potřeba, odebrat (princip nejnižších oprávnění). Jinak doplnit do DOC-03.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Z3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Petra Šafránková (18) má v datech u banka/parovani jen read (SoD), avšak kódová množina _banka_can_uid jí na finančních endpointech dává i zápis (širší než datový záměr).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Sjednotit: vynutit SoD i na finančním clusteru (migrace _banka_can_uid do vrstvy 2 — plán Fáze 2c).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Z4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Práva napevno v kódu (_banka_can_uid, _SW_MANAGERS, _VYROBA_MANAGERS, _KARA_LICENSED) nejsou datově auditovatelná.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Postupně překlopit do tenant.user_capability / group_capability, aby udělení = řádek + audit, ne změna kódu.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Z5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Neaktivní (pending) účty: Petr Beneš (31), Martin Pašek (35), Dušan Havlát (41), Zdeněk Diviš (43), Jiří Veverka (106) — někteří jsou zároveň vedoucí skupin.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Ověřit stav onboardingu; dokončit aktivaci nebo účet zrušit (zánik přístupu do 24 h dle DOC-09 čl. 3).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Z6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Nelidské identity (Marti-AI, Claude 23–29) mají trust 100 a přístup k datům (přes vlastní role / approval).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Vést je v evidenci aktiv/identit; potvrdit hranice (Marti-AI bez DELETE, Claude jen přes banner) a pravidelně přezkoumávat.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Z7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Skupiny Finance a DOCHÁZKA–OPRAVY nemají vedoucího.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Doplnit odpovědnou osobu (vlastník skupiny) nebo potvrdit, že vedoucí není vyžadován.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</w:rPr>
        <w:t xml:space="preserve">6.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Model přístupových práv je funkční a odpovídá politice DOC-09: uplatňuje se princip nejnižších oprávnění, oddělení rolí (sysadmin × rodič), segregace povinností u Petry (banka/párování jen čtení) a schvalování AI zápisů s auditem. Přezkum nenašel neoprávněný přístup; otevřená zjištění Z1–Z7 jsou převážně o doložení a o postupném přesunu kódových množin do auditovatelných dat. Zjištění se přenášejí do Plánu ošetření rizik (DOC-07) a evidence neshod (DOC-18) podle závažnosti. Doporučuje se doplnit tento záznam do seznamu dokumentů ISMS (DOC-00). Příští přezkum nejpozději 13. 1. 2027, dále po každé organizační změně.</w:t>
      </w:r>
    </w:p>
    <w:p>
      <w:pPr>
        <w:spacing w:after="120" w:before="120"/>
      </w:pP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2026-07-13T12:21:48.014Z</dcterms:created>
  <dcterms:modified xsi:type="dcterms:W3CDTF">2026-07-13T12:21:48.024Z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