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ZAZ-16-01 (záznam k DOC-16)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Zpráva z interního auditu ISMS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ZAZ-16-01 (záznam k DOC-16)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DOC-16 Program interního auditu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Mísa — Michaela Hladíková (manažerka ISMS)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kap. 9.2, A.5.35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min. 1× ročně; první audit v přípravě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příprava a stav interního auditu ISMS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Záznam dokládá stav a průběh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interního auditu ISMS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dle DOC-16 (a kap. 9.2 normy) — nezávislého ověření shody a účinnosti systému řízení. Rozsah pokrývá všechny oblasti ISMS (kapitoly 4–10 normy a opatření přílohy A relevantní pro rozsah).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Jak je audit připraven (realita)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Podklad: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pracovní checklist `Interni_audit_checklist.xlsx` (list „Interní audit 4-10“, ~26 kontrolních otázek napříč kapitolami 4–10) s návrhem důkazů a sloupci pro zjištění a shodu.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Nástroje pro důkazy: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cockpit `/iso` (stav opatření), append-only audit logy, SoA register (93 opatření), registr rizik.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Nezávislost (DOC-16 čl. 2):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auditor neposuzuje vlastní práci; Mísa vede ISMS, proto se u oblastí, které sama zpracovává, zajistí nezávislý přezkum (druhá osoba / externí auditor).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Stav provedení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4120"/>
      </w:tblGrid>
      <w:tr>
        <w:trPr>
          <w:cantSplit/>
          <w:tblHeader/>
        </w:trPr>
        <w:tc>
          <w:tcPr>
            <w:tcW w:type="dxa" w:w="3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Položka</w:t>
            </w:r>
          </w:p>
        </w:tc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Stav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Poznámka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Checklist a plán auditu</w:t>
            </w:r>
          </w:p>
        </w:tc>
        <w:tc>
          <w:tcPr>
            <w:tcW w:type="dxa" w:w="15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PŘIPRAVENO</w:t>
            </w:r>
          </w:p>
        </w:tc>
        <w:tc>
          <w:tcPr>
            <w:tcW w:type="dxa" w:w="41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xlsx kap. 4–10, 4 oblasti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Provedení 1. interního auditu</w:t>
            </w:r>
          </w:p>
        </w:tc>
        <w:tc>
          <w:tcPr>
            <w:tcW w:type="dxa" w:w="1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DOSUD NEPROVEDENO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souhrn nálezů: 0 — audit ještě neproběhl</w:t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DOC-16 předpokládá první interní audit do 14 dnů od schválení dokumentace. Auditor chce vidět, že audit reálně proběhl (datovaný, ne dodělaný zpětně).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Plán auditu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00"/>
        <w:gridCol w:w="1220"/>
      </w:tblGrid>
      <w:tr>
        <w:trPr>
          <w:cantSplit/>
          <w:tblHeader/>
        </w:trPr>
        <w:tc>
          <w:tcPr>
            <w:tcW w:type="dxa" w:w="2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Oblast</w:t>
            </w:r>
          </w:p>
        </w:tc>
        <w:tc>
          <w:tcPr>
            <w:tcW w:type="dxa" w:w="5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 se ověřuje</w:t>
            </w:r>
          </w:p>
        </w:tc>
        <w:tc>
          <w:tcPr>
            <w:tcW w:type="dxa" w:w="12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Termín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Řízení ISMS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Politika, rozhodnutí, cíle, dokumentace (kap. 4–6, 7.5)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 14 dnů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Rizika a SoA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 rizik, plán ošetření, SoA (6.1, 8.2, 8.3)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 14 dnů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Přístupy a provoz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Přístupová práva (viz ZAZ-09-01), zálohy, logy, incidenty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 14 dnů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Lidé a dodavatelé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Školení, onboarding/offboarding, dodavatelé/DPA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 14 dnů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Šablona zprávy z auditu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400"/>
        <w:gridCol w:w="1600"/>
        <w:gridCol w:w="202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18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</w:t>
            </w:r>
          </w:p>
        </w:tc>
        <w:tc>
          <w:tcPr>
            <w:tcW w:type="dxa" w:w="2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Oblast / požadavek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Shoda / neshoda / podnět</w:t>
            </w:r>
          </w:p>
        </w:tc>
        <w:tc>
          <w:tcPr>
            <w:tcW w:type="dxa" w:w="2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 a doporučení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Zjištěné neshody se řeší dle DOC-18 (nápravná opatření); výsledky auditu jsou vstupem pro přezkoumání vedením (DOC-17 / ZAZ-17-01).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6.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 (odpovídá: Mísa)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První interní audit dosud neproveden.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Naplánovat termín a provést audit dle checklistu; zapsat zjištění a shodu.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Riziko konfliktu zájmů (Mísa vede i audituje ISMS).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Zajistit nezávislost u vlastních oblastí (druhá osoba / externí auditor).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Výstupy auditu musí navázat na další kroky.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Neshody → DOC-18; souhrn → vstup do přezkoumání vedením (ZAZ-17-01).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7.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Interní audit je metodicky připraven (checklist, plán, důkazní základna), zbývá jej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provést a doložit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Spolu s přezkoumáním vedením jde o nejsledovanější důkaz pro certifikaci. Doporučuje se doplnit záznam do DOC-00.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2026-07-13T11:14:47.304Z</dcterms:created>
  <dcterms:modified xsi:type="dcterms:W3CDTF">2026-07-13T11:14:47.304Z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