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Jakub Kasal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dubna 1993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Jetelová 2275/21,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září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smlouva se sjednává na dobu určitou do </w:t>
      </w:r>
      <w:r>
        <w:rPr>
          <w:rFonts w:ascii="Verdana" w:hAnsi="Verdana" w:cs="Verdana"/>
          <w:b w:val="0"/>
        </w:rPr>
        <w:t>31. srpna 2026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září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Kasal,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