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Dohoda o provedení práce</w:t>
      </w:r>
    </w:p>
    <w:p>
      <w:r>
        <w:rPr>
          <w:rFonts w:ascii="Verdana" w:hAnsi="Verdana" w:cs="Verdana"/>
          <w:i/>
          <w:color w:val="808080"/>
          <w:sz w:val="17"/>
        </w:rPr>
        <w:t>NÁVRH/KONCEPT ze systému STRATEGIE 11. 6. 2026 — k doplnění a kontrole</w:t>
      </w:r>
    </w:p>
    <w:p>
      <w:pPr>
        <w:spacing w:after="60"/>
      </w:pPr>
      <w:r>
        <w:rPr>
          <w:rFonts w:ascii="Verdana" w:hAnsi="Verdana" w:cs="Verdana"/>
          <w:b w:val="0"/>
        </w:rPr>
        <w:t>mezi</w:t>
      </w:r>
    </w:p>
    <w:p>
      <w:pPr>
        <w:spacing w:after="60"/>
      </w:pPr>
      <w:r>
        <w:rPr>
          <w:rFonts w:ascii="Verdana" w:hAnsi="Verdana" w:cs="Verdana"/>
          <w:b w:val="0"/>
        </w:rPr>
        <w:t>EUROSOFT - System s.r.o.</w:t>
      </w:r>
    </w:p>
    <w:p>
      <w:pPr>
        <w:spacing w:after="60"/>
      </w:pPr>
      <w:r>
        <w:rPr>
          <w:rFonts w:ascii="Verdana" w:hAnsi="Verdana" w:cs="Verdana"/>
          <w:b w:val="0"/>
        </w:rPr>
        <w:t>Sídlo: Nepomucká 259, 326 00 Plzeň</w:t>
      </w:r>
    </w:p>
    <w:p>
      <w:pPr>
        <w:spacing w:after="60"/>
      </w:pPr>
      <w:r>
        <w:rPr>
          <w:rFonts w:ascii="Verdana" w:hAnsi="Verdana" w:cs="Verdana"/>
          <w:b w:val="0"/>
        </w:rPr>
        <w:t>IČ: 26411741</w:t>
      </w:r>
    </w:p>
    <w:p>
      <w:pPr>
        <w:spacing w:after="6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60"/>
      </w:pPr>
      <w:r>
        <w:rPr>
          <w:rFonts w:ascii="Verdana" w:hAnsi="Verdana" w:cs="Verdana"/>
          <w:b w:val="0"/>
        </w:rPr>
        <w:t>a</w:t>
      </w:r>
    </w:p>
    <w:p>
      <w:pPr>
        <w:spacing w:after="60"/>
      </w:pPr>
      <w:r>
        <w:rPr>
          <w:rFonts w:ascii="Verdana" w:hAnsi="Verdana" w:cs="Verdana"/>
          <w:b w:val="0"/>
        </w:rPr>
        <w:t>Světlana Herejtová narozen/a 15. července 1974</w:t>
      </w:r>
    </w:p>
    <w:p>
      <w:pPr>
        <w:spacing w:after="60"/>
      </w:pPr>
      <w:r>
        <w:rPr>
          <w:rFonts w:ascii="Verdana" w:hAnsi="Verdana" w:cs="Verdana"/>
          <w:b w:val="0"/>
        </w:rPr>
        <w:t>Trvalé bydliště: Dopravní 128/31, Plzeň</w:t>
      </w:r>
    </w:p>
    <w:p>
      <w:pPr>
        <w:spacing w:after="6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60"/>
      </w:pPr>
      <w:r>
        <w:rPr>
          <w:rFonts w:ascii="Verdana" w:hAnsi="Verdana" w:cs="Verdana"/>
          <w:b w:val="0"/>
        </w:rPr>
        <w:t>se uzavírá následující dohoda o provedení práce:</w:t>
      </w:r>
    </w:p>
    <w:p>
      <w:pPr>
        <w:spacing w:after="60"/>
      </w:pPr>
      <w:r>
        <w:rPr>
          <w:rFonts w:ascii="Verdana" w:hAnsi="Verdana" w:cs="Verdana"/>
          <w:b/>
        </w:rPr>
        <w:t>I.</w:t>
      </w:r>
    </w:p>
    <w:p>
      <w:pPr>
        <w:spacing w:after="60"/>
      </w:pPr>
      <w:r>
        <w:rPr>
          <w:rFonts w:ascii="Verdana" w:hAnsi="Verdana" w:cs="Verdana"/>
          <w:b w:val="0"/>
        </w:rPr>
        <w:t xml:space="preserve">1. Zaměstnanec se zavazuje provést pro zaměstnavatele tyto práce: </w:t>
      </w:r>
      <w:r>
        <w:rPr>
          <w:rFonts w:ascii="Verdana" w:hAnsi="Verdana" w:cs="Verdana"/>
          <w:b/>
          <w:color w:val="C00000"/>
        </w:rPr>
        <w:t>[DOPLNIT: vymezení sjednané práce]</w:t>
      </w:r>
      <w:r>
        <w:rPr>
          <w:rFonts w:ascii="Verdana" w:hAnsi="Verdana" w:cs="Verdana"/>
          <w:b w:val="0"/>
        </w:rPr>
        <w:t>.</w:t>
      </w:r>
    </w:p>
    <w:p>
      <w:pPr>
        <w:spacing w:after="60"/>
      </w:pPr>
      <w:r>
        <w:rPr>
          <w:rFonts w:ascii="Verdana" w:hAnsi="Verdana" w:cs="Verdana"/>
          <w:b w:val="0"/>
        </w:rPr>
        <w:t>2. Práce budou provedeny v období od 1. května 2024 na dobu neurčitou. Rozsah práce a pracovní doba se řídí domluvou s jednatelem společnosti.</w:t>
      </w:r>
    </w:p>
    <w:p>
      <w:pPr>
        <w:spacing w:after="60"/>
      </w:pPr>
      <w:r>
        <w:rPr>
          <w:rFonts w:ascii="Verdana" w:hAnsi="Verdana" w:cs="Verdana"/>
          <w:b w:val="0"/>
        </w:rPr>
        <w:t xml:space="preserve">3. Odměna za provedení práce bude vypočtena dle sumy odpracovaných hodin výkonovou mzdou ve výši </w:t>
      </w:r>
      <w:r>
        <w:rPr>
          <w:rFonts w:ascii="Verdana" w:hAnsi="Verdana" w:cs="Verdana"/>
          <w:b/>
          <w:color w:val="C00000"/>
        </w:rPr>
        <w:t>[DOPLNIT: sazba Kč/h]</w:t>
      </w:r>
      <w:r>
        <w:rPr>
          <w:rFonts w:ascii="Verdana" w:hAnsi="Verdana" w:cs="Verdana"/>
          <w:b w:val="0"/>
        </w:rPr>
        <w:t>.</w:t>
      </w:r>
    </w:p>
    <w:p>
      <w:pPr>
        <w:spacing w:after="60"/>
      </w:pPr>
      <w:r>
        <w:rPr>
          <w:rFonts w:ascii="Verdana" w:hAnsi="Verdana" w:cs="Verdana"/>
          <w:b w:val="0"/>
        </w:rPr>
        <w:t>4. Odměna je splatná po ukončení jednotlivých zakázek na konto č. 280154740/0300.</w:t>
      </w:r>
    </w:p>
    <w:p>
      <w:pPr>
        <w:spacing w:after="60"/>
      </w:pPr>
      <w:r>
        <w:rPr>
          <w:rFonts w:ascii="Verdana" w:hAnsi="Verdana" w:cs="Verdana"/>
          <w:b w:val="0"/>
        </w:rPr>
        <w:t>5. Práce budou provedeny v rozsahu max. 300 hodin za kalendářní rok.</w:t>
      </w:r>
    </w:p>
    <w:p>
      <w:pPr>
        <w:spacing w:after="60"/>
      </w:pPr>
      <w:r>
        <w:rPr>
          <w:rFonts w:ascii="Verdana" w:hAnsi="Verdana" w:cs="Verdana"/>
          <w:b w:val="0"/>
        </w:rPr>
        <w:t>6. Zaměstnanec provede práci osobně.</w:t>
      </w:r>
    </w:p>
    <w:p>
      <w:pPr>
        <w:spacing w:after="60"/>
      </w:pPr>
      <w:r>
        <w:rPr>
          <w:rFonts w:ascii="Verdana" w:hAnsi="Verdana" w:cs="Verdana"/>
          <w:b/>
        </w:rPr>
        <w:t>II.</w:t>
      </w:r>
    </w:p>
    <w:p>
      <w:pPr>
        <w:spacing w:after="60"/>
      </w:pPr>
      <w:r>
        <w:rPr>
          <w:rFonts w:ascii="Verdana" w:hAnsi="Verdana" w:cs="Verdana"/>
          <w:b w:val="0"/>
        </w:rPr>
        <w:t>1. Ostatní práva a povinnosti se řídí zákoníkem práce a obecně závaznými předpisy.</w:t>
      </w:r>
    </w:p>
    <w:p>
      <w:pPr>
        <w:spacing w:after="60"/>
      </w:pPr>
      <w:r>
        <w:rPr>
          <w:rFonts w:ascii="Verdana" w:hAnsi="Verdana" w:cs="Verdana"/>
          <w:b w:val="0"/>
        </w:rPr>
        <w:t>2. Zaměstnanec podpisem potvrzuje seznámení a akceptaci vnitřních předpisů: Etický kodex a Firemní kultura; předpis pro uplatnění konta pracovní doby; předpisy GDPR.</w:t>
      </w:r>
    </w:p>
    <w:p>
      <w:pPr>
        <w:spacing w:after="60"/>
      </w:pPr>
      <w:r>
        <w:rPr>
          <w:rFonts w:ascii="Verdana" w:hAnsi="Verdana" w:cs="Verdana"/>
          <w:b/>
        </w:rPr>
        <w:t>III.</w:t>
      </w:r>
    </w:p>
    <w:p>
      <w:pPr>
        <w:spacing w:after="60"/>
      </w:pPr>
      <w:r>
        <w:rPr>
          <w:rFonts w:ascii="Verdana" w:hAnsi="Verdana" w:cs="Verdana"/>
          <w:b w:val="0"/>
        </w:rPr>
        <w:t>Dohoda je ve dvou výtiscích, smluvní strany souhlasí s obsahem a připojují podpisy.</w:t>
      </w:r>
    </w:p>
    <w:p>
      <w:pPr>
        <w:spacing w:after="60"/>
      </w:pPr>
    </w:p>
    <w:p>
      <w:pPr>
        <w:spacing w:after="6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/>
          <w:color w:val="C00000"/>
        </w:rPr>
        <w:t>[DOPLNIT: datum]</w:t>
      </w:r>
    </w:p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______________________________</w:t>
            </w:r>
          </w:p>
        </w:tc>
        <w:tc>
          <w:tcPr>
            <w:tcW w:type="dxa" w:w="432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Světlana Herejtová,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