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Plná moc</w:t>
      </w:r>
    </w:p>
    <w:p>
      <w:r>
        <w:rPr>
          <w:rFonts w:ascii="Verdana" w:hAnsi="Verdana" w:cs="Verdana"/>
          <w:i/>
          <w:color w:val="808080"/>
          <w:sz w:val="17"/>
        </w:rPr>
        <w:t>NÁVRH/KONCEPT ze systému STRATEGIE 11. 6. 2026 — k doplnění a kontrole</w:t>
      </w:r>
    </w:p>
    <w:p>
      <w:pPr>
        <w:spacing w:after="60"/>
      </w:pPr>
      <w:r>
        <w:rPr>
          <w:rFonts w:ascii="Verdana" w:hAnsi="Verdana" w:cs="Verdana"/>
          <w:b/>
        </w:rPr>
        <w:t>Zmocnitel:</w:t>
      </w:r>
    </w:p>
    <w:p>
      <w:pPr>
        <w:spacing w:after="60"/>
      </w:pPr>
      <w:r>
        <w:rPr>
          <w:rFonts w:ascii="Verdana" w:hAnsi="Verdana" w:cs="Verdana"/>
          <w:b w:val="0"/>
        </w:rPr>
        <w:t>EUROSOFT - Control s.r.o.</w:t>
      </w:r>
    </w:p>
    <w:p>
      <w:pPr>
        <w:spacing w:after="60"/>
      </w:pPr>
      <w:r>
        <w:rPr>
          <w:rFonts w:ascii="Verdana" w:hAnsi="Verdana" w:cs="Verdana"/>
          <w:b w:val="0"/>
        </w:rPr>
        <w:t>se sídlem: Nepomucká 259, 326 00 Plzeň</w:t>
      </w:r>
    </w:p>
    <w:p>
      <w:pPr>
        <w:spacing w:after="60"/>
      </w:pPr>
      <w:r>
        <w:rPr>
          <w:rFonts w:ascii="Verdana" w:hAnsi="Verdana" w:cs="Verdana"/>
          <w:b w:val="0"/>
        </w:rPr>
        <w:t>IČO: 27960862</w:t>
      </w:r>
    </w:p>
    <w:p>
      <w:pPr>
        <w:spacing w:after="60"/>
      </w:pPr>
      <w:r>
        <w:rPr>
          <w:rFonts w:ascii="Verdana" w:hAnsi="Verdana" w:cs="Verdana"/>
          <w:b w:val="0"/>
        </w:rPr>
        <w:t>zapsaná v OR: Krajský soud v Plzni, oddíl C, vložka 18759</w:t>
      </w:r>
    </w:p>
    <w:p>
      <w:pPr>
        <w:spacing w:after="60"/>
      </w:pPr>
      <w:r>
        <w:rPr>
          <w:rFonts w:ascii="Verdana" w:hAnsi="Verdana" w:cs="Verdana"/>
          <w:b w:val="0"/>
        </w:rPr>
        <w:t>zastoupená: Martin Pašek, jednatel a Branislav Mózer, jednatel</w:t>
      </w:r>
    </w:p>
    <w:p>
      <w:pPr>
        <w:spacing w:after="60"/>
      </w:pPr>
      <w:r>
        <w:rPr>
          <w:rFonts w:ascii="Verdana" w:hAnsi="Verdana" w:cs="Verdana"/>
          <w:b w:val="0"/>
        </w:rPr>
        <w:t>a</w:t>
      </w:r>
    </w:p>
    <w:p>
      <w:pPr>
        <w:spacing w:after="60"/>
      </w:pPr>
      <w:r>
        <w:rPr>
          <w:rFonts w:ascii="Verdana" w:hAnsi="Verdana" w:cs="Verdana"/>
          <w:b/>
        </w:rPr>
        <w:t>Zmocněnec:</w:t>
      </w:r>
    </w:p>
    <w:p>
      <w:pPr>
        <w:spacing w:after="60"/>
      </w:pPr>
      <w:r>
        <w:rPr>
          <w:rFonts w:ascii="Verdana" w:hAnsi="Verdana" w:cs="Verdana"/>
          <w:b/>
          <w:color w:val="C00000"/>
        </w:rPr>
        <w:t>[DOPLNIT: jméno]</w:t>
      </w:r>
      <w:r>
        <w:rPr>
          <w:rFonts w:ascii="Verdana" w:hAnsi="Verdana" w:cs="Verdana"/>
          <w:b w:val="0"/>
        </w:rPr>
        <w:t xml:space="preserve">, narozen/a </w:t>
      </w:r>
      <w:r>
        <w:rPr>
          <w:rFonts w:ascii="Verdana" w:hAnsi="Verdana" w:cs="Verdana"/>
          <w:b/>
          <w:color w:val="C00000"/>
        </w:rPr>
        <w:t>[DOPLNIT]</w:t>
      </w:r>
      <w:r>
        <w:rPr>
          <w:rFonts w:ascii="Verdana" w:hAnsi="Verdana" w:cs="Verdana"/>
          <w:b w:val="0"/>
        </w:rPr>
        <w:t xml:space="preserve">, trvale bytem </w:t>
      </w:r>
      <w:r>
        <w:rPr>
          <w:rFonts w:ascii="Verdana" w:hAnsi="Verdana" w:cs="Verdana"/>
          <w:b/>
          <w:color w:val="C00000"/>
        </w:rPr>
        <w:t>[DOPLNIT]</w:t>
      </w:r>
    </w:p>
    <w:p>
      <w:pPr>
        <w:spacing w:after="60"/>
      </w:pPr>
      <w:r>
        <w:rPr>
          <w:rFonts w:ascii="Verdana" w:hAnsi="Verdana" w:cs="Verdana"/>
          <w:b/>
        </w:rPr>
        <w:t>Rozsah zmocnění</w:t>
      </w:r>
    </w:p>
    <w:p>
      <w:pPr>
        <w:spacing w:after="60"/>
      </w:pPr>
      <w:r>
        <w:rPr>
          <w:rFonts w:ascii="Verdana" w:hAnsi="Verdana" w:cs="Verdana"/>
          <w:b w:val="0"/>
        </w:rPr>
        <w:t xml:space="preserve">Zmocnitel zmocňuje zmocněnce, aby jej zastupoval a činil jeho jménem právní úkony související s </w:t>
      </w:r>
      <w:r>
        <w:rPr>
          <w:rFonts w:ascii="Verdana" w:hAnsi="Verdana" w:cs="Verdana"/>
          <w:b/>
          <w:color w:val="C00000"/>
        </w:rPr>
        <w:t>[DOPLNIT: oblast zmocnění, např. operativní agenda personálního oddělení]</w:t>
      </w:r>
      <w:r>
        <w:rPr>
          <w:rFonts w:ascii="Verdana" w:hAnsi="Verdana" w:cs="Verdana"/>
          <w:b w:val="0"/>
        </w:rPr>
        <w:t>, zejména:</w:t>
      </w:r>
    </w:p>
    <w:p>
      <w:pPr>
        <w:spacing w:after="60"/>
      </w:pPr>
      <w:r>
        <w:rPr>
          <w:rFonts w:ascii="Verdana" w:hAnsi="Verdana" w:cs="Verdana"/>
          <w:b/>
          <w:color w:val="C00000"/>
        </w:rPr>
        <w:t>[DOPLNIT: výčet konkrétních úkonů — jednání se školami, smlouvy o praxi, komunikace s úřady, propagační akce, běžná korespondence oddělení]</w:t>
      </w:r>
      <w:r>
        <w:rPr>
          <w:rFonts w:ascii="Verdana" w:hAnsi="Verdana" w:cs="Verdana"/>
          <w:b w:val="0"/>
        </w:rPr>
        <w:t>.</w:t>
      </w:r>
    </w:p>
    <w:p>
      <w:pPr>
        <w:spacing w:after="60"/>
      </w:pPr>
      <w:r>
        <w:rPr>
          <w:rFonts w:ascii="Verdana" w:hAnsi="Verdana" w:cs="Verdana"/>
          <w:b/>
        </w:rPr>
        <w:t>Výslovné omezení zmocnění</w:t>
      </w:r>
    </w:p>
    <w:p>
      <w:pPr>
        <w:spacing w:after="60"/>
      </w:pPr>
      <w:r>
        <w:rPr>
          <w:rFonts w:ascii="Verdana" w:hAnsi="Verdana" w:cs="Verdana"/>
          <w:b w:val="0"/>
        </w:rPr>
        <w:t>Zmocnění se NEVZTAHUJE na: podepisování pracovních smluv a dohod (DPP/DPČ); výpovědí a dohod o rozvázání pracovního poměru; ani jiných úkonů směřujících ke vzniku, změně nebo zániku pracovního poměru.</w:t>
      </w:r>
    </w:p>
    <w:p>
      <w:pPr>
        <w:spacing w:after="60"/>
      </w:pPr>
    </w:p>
    <w:p>
      <w:pPr>
        <w:spacing w:after="6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/>
          <w:color w:val="C00000"/>
        </w:rPr>
        <w:t>[DOPLNIT: datum]</w:t>
      </w:r>
    </w:p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______________________________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[DOPLNIT: jméno], zmocněnec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