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DOC-01</w:t>
      </w:r>
    </w:p>
    <w:p>
      <w:pPr>
        <w:pStyle w:val="Title"/>
      </w:pPr>
      <w:r>
        <w:t xml:space="preserve">Rozsah systému řízení bezpečnosti informací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dokumentu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Tento dokument vymezuje rozsah (scope) systému řízení bezpečnosti informací (dále jen „ISMS“) společnosti STRATEGIE - System s.r.o. dle požadavku normy ČSN EN ISO/IEC 27001:2022, kapitola 4.3.</w:t>
      </w:r>
    </w:p>
    <w:p>
      <w:pPr>
        <w:pStyle w:val="Heading1"/>
      </w:pPr>
      <w:r>
        <w:t xml:space="preserve">2. Profil organizace a kontext (4.1)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STRATEGIE - System s.r.o. (IČO 23365544, sídlo Nad Týncem 1192/10, Doubravka, 312 00 Plzeň, zapsaná u Krajského soudu v Plzni pod sp. zn. C 46859, vznik 12. 6. 2025) vyvíjí a provozuje modulární podnikovou platformu STRATEGIE — webovou aplikaci (PWA), mobilní aplikace (Android a iOS) a integrovaného AI asistenta. Platforma propojuje firemní procesy, lidi a data: docházku a plánování, personalistiku a mzdové podklady, nábor, CRM, řízení výroby a komunikaci.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Interní a externí souvislosti relevantní pro ISMS: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Interní: malý tým, vysoká míra automatizace, cloudový provoz, zpracování citlivých osobních a mzdových údajů.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Externí: legislativa (GDPR, zákoník práce, zákon o kybernetické bezpečnosti), požadavky zákazníků a partnerů (EUROSOFT-System, IQHUBS), závislost na cloudu a službách třetích stran.</w:t>
      </w:r>
    </w:p>
    <w:p>
      <w:pPr>
        <w:pStyle w:val="Heading1"/>
      </w:pPr>
      <w:r>
        <w:t xml:space="preserve">3. Zainteresované strany a jejich požadavky (4.2)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Zákazníci a partneři — důvěrnost, integrita a dostupnost svěřených dat; smluvní a certifikační požadavky (ISO/IEC 27001).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Zaměstnanci a uživatelé — ochrana osobních, docházkových a mzdových údajů.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Vedení — kontinuita provozu, ochrana dobrého jména, soulad s legislativou.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Dozorové orgány a legislativa — ochrana osobních údajů (GDPR), pracovněprávní povinnosti.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Dodavatelé (cloud, SMS brána, e-mail, Apple/Google) — vzájemné bezpečnostní povinnosti.</w:t>
      </w:r>
    </w:p>
    <w:p>
      <w:pPr>
        <w:pStyle w:val="Heading1"/>
      </w:pPr>
      <w:r>
        <w:t xml:space="preserve">4. Rozsah ISMS (4.3)</w:t>
      </w:r>
    </w:p>
    <w:p>
      <w:pPr>
        <w:pStyle w:val="Heading2"/>
      </w:pPr>
      <w:r>
        <w:t xml:space="preserve">4.1 Co je v rozsahu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ISMS pokrývá vývoj, provoz, podporu a správu platformy STRATEGIE a všechna související aktiva: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Aplikace: webová PWA, mobilní aplikace (Android, iOS), AI asistent (Marti-AI), administrační a ERP rozhraní.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Informace: osobní a kontaktní údaje, docházka a plánování, mzdové a personální podklady, nábor, CRM, přihlašovací tajemství (šifrovaný trezor).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Infrastruktura: cloudové servery aplikace a databáze, PostgreSQL, reverzní proxy, zálohovací úložiště, integrační a komunikační kanály.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Organizace: celá společnost STRATEGIE - System s.r.o. a osoby podílející se na vývoji a provozu.</w:t>
      </w:r>
    </w:p>
    <w:p>
      <w:pPr>
        <w:pStyle w:val="Heading2"/>
      </w:pPr>
      <w:r>
        <w:t xml:space="preserve">4.2 Lokality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Produkční cloudové prostředí (aplikační a databázový server) — poskytovatel ČMIS, datové centrum Praha (ČR).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Pracoviště týmu (skutečná provozovna): Nepomucká 259, Plzeň — budova partnera EUROSOFT (ve vlastnictví jednatele), kde tým STRATEGIE denně pracuje; fyzická bezpečnost je zajištěna v rámci této budovy (řízený přístup do objektu). Zapsané sídlo Nad Týncem 1192/10, Doubravka, 312 00 Plzeň je pouze formální/korespondenční, bez vlastní provozovny na této adrese.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Bezpečné integrační rozhraní na on-premise systémy partnera (EUROSOFT) v rozsahu vyhrazených sdílených složek a čtených dat.</w:t>
      </w:r>
    </w:p>
    <w:p>
      <w:pPr>
        <w:pStyle w:val="Heading2"/>
      </w:pPr>
      <w:r>
        <w:t xml:space="preserve">4.3 Hranice a rozhraní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Cloudový poskytovatel ČMIS (provoz serverů, síť, fyzická bezpečnost DC).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Integrace na systémy partnera EUROSOFT přes řízené, auditované rozhraní.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Služby třetích stran: SMS brána, e-mailová služba, distribuční platformy (Apple App Store, Google Play).</w:t>
      </w:r>
    </w:p>
    <w:p>
      <w:pPr>
        <w:pStyle w:val="Heading2"/>
      </w:pPr>
      <w:r>
        <w:t xml:space="preserve">4.4 Vyloučení a vymezení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Z požadavků normy (kap. 4–10) není vyloučeno nic; aplikovatelnost opatření přílohy A řeší DOC-06 (SoA). Mimo rozsah: koncová zařízení a sítě zákazníků a partnerů, fyzická infrastruktura cloudového poskytovatele (jeho vlastní certifikace), interní systémy partnerů mimo vyhrazené rozhraní.</w:t>
      </w:r>
    </w:p>
    <w:p>
      <w:pPr>
        <w:pStyle w:val="Heading1"/>
      </w:pPr>
      <w:r>
        <w:t xml:space="preserve">5. Související dokumenty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DOC-02 Politika informační bezpečnosti, DOC-06 SoA, DOC-15 Evidence aktiv a klasifikace.</w:t>
      </w:r>
    </w:p>
    <w:p>
      <w:pPr>
        <w:pStyle w:val="Heading1"/>
      </w:pPr>
      <w:r>
        <w:t xml:space="preserve">6.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Rozsah systému řízení bezpečnosti informací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DOC-01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2026-06-17T14:45:08.792Z</dcterms:created>
  <dcterms:modified xsi:type="dcterms:W3CDTF">2026-06-17T14:45:08.792Z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