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left"/>
      </w:pPr>
      <w:r>
        <w:drawing>
          <wp:inline distT="0" distB="0" distL="0" distR="0">
            <wp:extent cx="2190750" cy="342900"/>
            <wp:effectExtent t="0" r="0" b="0" l="0"/>
            <wp:docPr id="1" name="EUROSOFT logo" descr="EUROSOFT logo" title="EU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342900"/>
                    </a:xfrm>
                    <a:prstGeom prst="rect">
                      <a:avLst/>
                    </a:prstGeom>
                  </pic:spPr>
                </pic:pic>
              </a:graphicData>
            </a:graphic>
          </wp:inline>
        </w:drawing>
      </w:r>
    </w:p>
    <w:p>
      <w:pPr>
        <w:spacing w:after="240"/>
        <w:jc w:val="center"/>
      </w:pPr>
      <w:r>
        <w:rPr>
          <w:color w:val="666666"/>
          <w:sz w:val="18"/>
          <w:szCs w:val="18"/>
        </w:rPr>
        <w:t xml:space="preserve">EUROSOFT-Control s.r.o.  ·  EUROSOFT-System s.r.o.</w:t>
      </w:r>
    </w:p>
    <w:p>
      <w:pPr>
        <w:spacing w:after="60"/>
        <w:jc w:val="center"/>
      </w:pPr>
      <w:r>
        <w:rPr>
          <w:b/>
          <w:bCs/>
          <w:sz w:val="40"/>
          <w:szCs w:val="40"/>
        </w:rPr>
        <w:t xml:space="preserve">BUSINESS ETHICS DIRECTIVE</w:t>
      </w:r>
    </w:p>
    <w:p>
      <w:pPr>
        <w:spacing w:after="240"/>
        <w:jc w:val="center"/>
      </w:pPr>
      <w:r>
        <w:rPr>
          <w:color w:val="2E4A6B"/>
          <w:sz w:val="26"/>
          <w:szCs w:val="26"/>
        </w:rPr>
        <w:t xml:space="preserve">Anti-Corruption and Anti-Money Laundering</w:t>
      </w:r>
    </w:p>
    <w:p>
      <w:pPr>
        <w:spacing w:after="30"/>
        <w:jc w:val="center"/>
      </w:pPr>
      <w:r>
        <w:rPr>
          <w:color w:val="666666"/>
          <w:sz w:val="18"/>
          <w:szCs w:val="18"/>
        </w:rPr>
        <w:t xml:space="preserve">Directive No.: SM-ETIKA-01   ·   Version: 1.0   ·   Classification: Public</w:t>
      </w:r>
    </w:p>
    <w:p>
      <w:pPr>
        <w:spacing w:after="30"/>
        <w:jc w:val="center"/>
      </w:pPr>
      <w:r>
        <w:rPr>
          <w:color w:val="666666"/>
          <w:sz w:val="18"/>
          <w:szCs w:val="18"/>
        </w:rPr>
        <w:t xml:space="preserve">Effective from: 26 June 2026   ·   Approved by: Marti Pašek, Managing Director</w:t>
      </w:r>
    </w:p>
    <w:p>
      <w:pPr>
        <w:spacing w:after="240"/>
        <w:jc w:val="center"/>
      </w:pPr>
      <w:r>
        <w:rPr>
          <w:i/>
          <w:iCs/>
          <w:color w:val="666666"/>
          <w:sz w:val="18"/>
          <w:szCs w:val="18"/>
        </w:rPr>
        <w:t xml:space="preserve">Part of the Information Security Management System (ISMS / ISO 27001, TISAX)</w:t>
      </w:r>
    </w:p>
    <w:p>
      <w:pPr>
        <w:pBdr>
          <w:bottom w:val="single" w:color="1F4E79" w:sz="6" w:space="6"/>
        </w:pBdr>
        <w:spacing w:after="160"/>
      </w:pPr>
      <w:r>
        <w:t xml:space="preserve"/>
      </w:r>
    </w:p>
    <w:p>
      <w:pPr>
        <w:pStyle w:val="Heading1"/>
      </w:pPr>
      <w:r>
        <w:t xml:space="preserve">1. Purpose and Scope</w:t>
      </w:r>
    </w:p>
    <w:p>
      <w:pPr>
        <w:spacing w:after="120"/>
      </w:pPr>
      <w:r>
        <w:t xml:space="preserve">This directive sets out the binding business ethics principles of EUROSOFT (hereinafter the “Company”) in the area of anti-corruption, anti-bribery and anti-money laundering. Its aim is to protect the Company, its employees and business partners, ensure compliance with legal and ethical standards, and build long-term trustworthy and transparent relationships.</w:t>
      </w:r>
    </w:p>
    <w:p>
      <w:pPr>
        <w:spacing w:after="120"/>
      </w:pPr>
      <w:r>
        <w:t xml:space="preserve">The directive is binding on all employees of the Company regardless of their position, on members of management and statutory bodies, and applies reasonably to business partners, suppliers, intermediaries and other third parties acting on behalf of or for the benefit of the Company. The Company expects its business partners to observe comparable ethical standards.</w:t>
      </w:r>
    </w:p>
    <w:p>
      <w:pPr>
        <w:pStyle w:val="Heading1"/>
      </w:pPr>
      <w:r>
        <w:t xml:space="preserve">2. Definitions</w:t>
      </w:r>
    </w:p>
    <w:p>
      <w:pPr>
        <w:pStyle w:val="ListParagraph"/>
        <w:numPr>
          <w:ilvl w:val="0"/>
          <w:numId w:val="2"/>
        </w:numPr>
        <w:spacing w:after="60"/>
      </w:pPr>
      <w:r>
        <w:rPr>
          <w:b/>
          <w:bCs/>
        </w:rPr>
        <w:t xml:space="preserve">Corruption – </w:t>
      </w:r>
      <w:r>
        <w:t xml:space="preserve">the abuse of an entrusted position or authority to obtain an undue advantage.</w:t>
      </w:r>
    </w:p>
    <w:p>
      <w:pPr>
        <w:pStyle w:val="ListParagraph"/>
        <w:numPr>
          <w:ilvl w:val="0"/>
          <w:numId w:val="2"/>
        </w:numPr>
        <w:spacing w:after="60"/>
      </w:pPr>
      <w:r>
        <w:rPr>
          <w:b/>
          <w:bCs/>
        </w:rPr>
        <w:t xml:space="preserve">Bribe – </w:t>
      </w:r>
      <w:r>
        <w:t xml:space="preserve">the direct or indirect offering, promising, giving, requesting or accepting of any undue advantage (financial or non-financial) intended to influence conduct or a decision.</w:t>
      </w:r>
    </w:p>
    <w:p>
      <w:pPr>
        <w:pStyle w:val="ListParagraph"/>
        <w:numPr>
          <w:ilvl w:val="0"/>
          <w:numId w:val="2"/>
        </w:numPr>
        <w:spacing w:after="60"/>
      </w:pPr>
      <w:r>
        <w:rPr>
          <w:b/>
          <w:bCs/>
        </w:rPr>
        <w:t xml:space="preserve">Facilitation payment – </w:t>
      </w:r>
      <w:r>
        <w:t xml:space="preserve">a small unofficial payment to a public official to expedite or secure a routine action to which there is an entitlement. It is prohibited within the Company.</w:t>
      </w:r>
    </w:p>
    <w:p>
      <w:pPr>
        <w:pStyle w:val="ListParagraph"/>
        <w:numPr>
          <w:ilvl w:val="0"/>
          <w:numId w:val="2"/>
        </w:numPr>
        <w:spacing w:after="60"/>
      </w:pPr>
      <w:r>
        <w:rPr>
          <w:b/>
          <w:bCs/>
        </w:rPr>
        <w:t xml:space="preserve">Money laundering – </w:t>
      </w:r>
      <w:r>
        <w:t xml:space="preserve">conduct aimed at concealing the illicit origin of assets so that they appear legitimate.</w:t>
      </w:r>
    </w:p>
    <w:p>
      <w:pPr>
        <w:pStyle w:val="ListParagraph"/>
        <w:numPr>
          <w:ilvl w:val="0"/>
          <w:numId w:val="2"/>
        </w:numPr>
        <w:spacing w:after="60"/>
      </w:pPr>
      <w:r>
        <w:rPr>
          <w:b/>
          <w:bCs/>
        </w:rPr>
        <w:t xml:space="preserve">PEP (politically exposed person) – </w:t>
      </w:r>
      <w:r>
        <w:t xml:space="preserve">a person in a prominent public function and persons close to them, who present an increased risk of corruption.</w:t>
      </w:r>
    </w:p>
    <w:p>
      <w:pPr>
        <w:pStyle w:val="Heading1"/>
      </w:pPr>
      <w:r>
        <w:t xml:space="preserve">3. Anti-Corruption and Anti-Bribery</w:t>
      </w:r>
    </w:p>
    <w:p>
      <w:pPr>
        <w:spacing w:after="120"/>
      </w:pPr>
      <w:r>
        <w:t xml:space="preserve">The Company applies a zero-tolerance policy towards corruption and bribery in any form, in both the private and public sectors, whether carried out directly or through a third party.</w:t>
      </w:r>
    </w:p>
    <w:p>
      <w:pPr>
        <w:pStyle w:val="Heading2"/>
      </w:pPr>
      <w:r>
        <w:t xml:space="preserve">3.1 Prohibition of Bribes</w:t>
      </w:r>
    </w:p>
    <w:p>
      <w:pPr>
        <w:pStyle w:val="ListParagraph"/>
        <w:numPr>
          <w:ilvl w:val="0"/>
          <w:numId w:val="2"/>
        </w:numPr>
        <w:spacing w:after="60"/>
      </w:pPr>
      <w:r>
        <w:t xml:space="preserve">It is prohibited to offer, promise, give, request or accept bribes and any undue advantages.</w:t>
      </w:r>
    </w:p>
    <w:p>
      <w:pPr>
        <w:pStyle w:val="ListParagraph"/>
        <w:numPr>
          <w:ilvl w:val="0"/>
          <w:numId w:val="2"/>
        </w:numPr>
        <w:spacing w:after="60"/>
      </w:pPr>
      <w:r>
        <w:t xml:space="preserve">The prohibition also applies to public officials and in relation to public administration without exception.</w:t>
      </w:r>
    </w:p>
    <w:p>
      <w:pPr>
        <w:pStyle w:val="Heading2"/>
      </w:pPr>
      <w:r>
        <w:t xml:space="preserve">3.2 Facilitation Payments</w:t>
      </w:r>
    </w:p>
    <w:p>
      <w:pPr>
        <w:pStyle w:val="ListParagraph"/>
        <w:numPr>
          <w:ilvl w:val="0"/>
          <w:numId w:val="2"/>
        </w:numPr>
        <w:spacing w:after="60"/>
      </w:pPr>
      <w:r>
        <w:t xml:space="preserve">Facilitation (expediting) payments are prohibited regardless of their amount and local custom.</w:t>
      </w:r>
    </w:p>
    <w:p>
      <w:pPr>
        <w:pStyle w:val="Heading2"/>
      </w:pPr>
      <w:r>
        <w:t xml:space="preserve">3.3 Gifts and Hospitality</w:t>
      </w:r>
    </w:p>
    <w:p>
      <w:pPr>
        <w:pStyle w:val="ListParagraph"/>
        <w:numPr>
          <w:ilvl w:val="0"/>
          <w:numId w:val="2"/>
        </w:numPr>
        <w:spacing w:after="60"/>
      </w:pPr>
      <w:r>
        <w:t xml:space="preserve">Gifts and hospitality are permissible only if they are reasonable, transparent, in line with ordinary business practice, and cannot influence impartial decision-making.</w:t>
      </w:r>
    </w:p>
    <w:p>
      <w:pPr>
        <w:pStyle w:val="ListParagraph"/>
        <w:numPr>
          <w:ilvl w:val="0"/>
          <w:numId w:val="2"/>
        </w:numPr>
        <w:spacing w:after="60"/>
      </w:pPr>
      <w:r>
        <w:rPr>
          <w:b/>
          <w:bCs/>
        </w:rPr>
        <w:t xml:space="preserve">Value limit: </w:t>
      </w:r>
      <w:r>
        <w:t xml:space="preserve">a single gift or instance of hospitality must not exceed CZK 1,500. Anything above this limit requires the prior written consent of the superior.</w:t>
      </w:r>
    </w:p>
    <w:p>
      <w:pPr>
        <w:pStyle w:val="ListParagraph"/>
        <w:numPr>
          <w:ilvl w:val="0"/>
          <w:numId w:val="2"/>
        </w:numPr>
        <w:spacing w:after="60"/>
      </w:pPr>
      <w:r>
        <w:t xml:space="preserve">Cash gifts, gifts in the form of cash or its equivalents, and any gifts in connection with an ongoing tender or decision-making are prohibited.</w:t>
      </w:r>
    </w:p>
    <w:p>
      <w:pPr>
        <w:pStyle w:val="ListParagraph"/>
        <w:numPr>
          <w:ilvl w:val="0"/>
          <w:numId w:val="2"/>
        </w:numPr>
        <w:spacing w:after="60"/>
      </w:pPr>
      <w:r>
        <w:rPr>
          <w:b/>
          <w:bCs/>
        </w:rPr>
        <w:t xml:space="preserve">Gift register: </w:t>
      </w:r>
      <w:r>
        <w:t xml:space="preserve">gifts and hospitality received and given above half of the limit are recorded in a gift register maintained by the designated person.</w:t>
      </w:r>
    </w:p>
    <w:p>
      <w:pPr>
        <w:pStyle w:val="Heading2"/>
      </w:pPr>
      <w:r>
        <w:t xml:space="preserve">3.4 Conflict of Interest</w:t>
      </w:r>
    </w:p>
    <w:p>
      <w:pPr>
        <w:pStyle w:val="ListParagraph"/>
        <w:numPr>
          <w:ilvl w:val="0"/>
          <w:numId w:val="2"/>
        </w:numPr>
        <w:spacing w:after="60"/>
      </w:pPr>
      <w:r>
        <w:t xml:space="preserve">Employees are obliged to prevent conflicts of interest and to report any actual or potential conflict of interest to their superior without delay.</w:t>
      </w:r>
    </w:p>
    <w:p>
      <w:pPr>
        <w:pStyle w:val="Heading2"/>
      </w:pPr>
      <w:r>
        <w:t xml:space="preserve">3.5 Sponsorship and Gifts to Third Parties</w:t>
      </w:r>
    </w:p>
    <w:p>
      <w:pPr>
        <w:pStyle w:val="ListParagraph"/>
        <w:numPr>
          <w:ilvl w:val="0"/>
          <w:numId w:val="2"/>
        </w:numPr>
        <w:spacing w:after="60"/>
      </w:pPr>
      <w:r>
        <w:t xml:space="preserve">Sponsorship gifts and contributions must be transparent, properly documented and must not serve as a hidden form of bribery.</w:t>
      </w:r>
    </w:p>
    <w:p>
      <w:pPr>
        <w:pStyle w:val="Heading1"/>
      </w:pPr>
      <w:r>
        <w:t xml:space="preserve">4. Anti-Money Laundering (AML)</w:t>
      </w:r>
    </w:p>
    <w:p>
      <w:pPr>
        <w:spacing w:after="120"/>
      </w:pPr>
      <w:r>
        <w:t xml:space="preserve">The Company takes measures to ensure it is not misused for money laundering or the financing of illegal activities, and trades only with legitimate partners and legal sources of funds.</w:t>
      </w:r>
    </w:p>
    <w:p>
      <w:pPr>
        <w:pStyle w:val="Heading2"/>
      </w:pPr>
      <w:r>
        <w:t xml:space="preserve">4.1 Know Your Partner (Due Diligence)</w:t>
      </w:r>
    </w:p>
    <w:p>
      <w:pPr>
        <w:pStyle w:val="ListParagraph"/>
        <w:numPr>
          <w:ilvl w:val="0"/>
          <w:numId w:val="2"/>
        </w:numPr>
        <w:spacing w:after="60"/>
      </w:pPr>
      <w:r>
        <w:t xml:space="preserve">Before entering into a business relationship, the Company verifies the identity and legitimacy of the business partner (KYC) in proportion to the level of risk.</w:t>
      </w:r>
    </w:p>
    <w:p>
      <w:pPr>
        <w:pStyle w:val="Heading2"/>
      </w:pPr>
      <w:r>
        <w:t xml:space="preserve">4.2 Sanctions and PEP Screening</w:t>
      </w:r>
    </w:p>
    <w:p>
      <w:pPr>
        <w:pStyle w:val="ListParagraph"/>
        <w:numPr>
          <w:ilvl w:val="0"/>
          <w:numId w:val="2"/>
        </w:numPr>
        <w:spacing w:after="60"/>
      </w:pPr>
      <w:r>
        <w:rPr>
          <w:b/>
          <w:bCs/>
        </w:rPr>
        <w:t xml:space="preserve">Sanctions screening: </w:t>
      </w:r>
      <w:r>
        <w:t xml:space="preserve">business partners are screened against sanctions lists (EU, UN, OFAC).</w:t>
      </w:r>
    </w:p>
    <w:p>
      <w:pPr>
        <w:pStyle w:val="ListParagraph"/>
        <w:numPr>
          <w:ilvl w:val="0"/>
          <w:numId w:val="2"/>
        </w:numPr>
        <w:spacing w:after="60"/>
      </w:pPr>
      <w:r>
        <w:rPr>
          <w:b/>
          <w:bCs/>
        </w:rPr>
        <w:t xml:space="preserve">PEP check: </w:t>
      </w:r>
      <w:r>
        <w:t xml:space="preserve">partners are checked for whether they are a politically exposed person; if so, enhanced measures apply.</w:t>
      </w:r>
    </w:p>
    <w:p>
      <w:pPr>
        <w:pStyle w:val="ListParagraph"/>
        <w:numPr>
          <w:ilvl w:val="0"/>
          <w:numId w:val="2"/>
        </w:numPr>
        <w:spacing w:after="60"/>
      </w:pPr>
      <w:r>
        <w:rPr>
          <w:b/>
          <w:bCs/>
        </w:rPr>
        <w:t xml:space="preserve">Documentation: </w:t>
      </w:r>
      <w:r>
        <w:t xml:space="preserve">the result of the screening is documented and is a condition for concluding a contract. If a risk is identified, the relationship is not established until the risk is resolved.</w:t>
      </w:r>
    </w:p>
    <w:p>
      <w:pPr>
        <w:pStyle w:val="Heading2"/>
      </w:pPr>
      <w:r>
        <w:t xml:space="preserve">4.3 Payments and Suspicious Transactions</w:t>
      </w:r>
    </w:p>
    <w:p>
      <w:pPr>
        <w:pStyle w:val="ListParagraph"/>
        <w:numPr>
          <w:ilvl w:val="0"/>
          <w:numId w:val="2"/>
        </w:numPr>
        <w:spacing w:after="60"/>
      </w:pPr>
      <w:r>
        <w:t xml:space="preserve">Cashless payments are preferred; unusual cash payments and payments via unrelated third parties or to unrelated jurisdictions are not permitted.</w:t>
      </w:r>
    </w:p>
    <w:p>
      <w:pPr>
        <w:pStyle w:val="ListParagraph"/>
        <w:numPr>
          <w:ilvl w:val="0"/>
          <w:numId w:val="2"/>
        </w:numPr>
        <w:spacing w:after="60"/>
      </w:pPr>
      <w:r>
        <w:t xml:space="preserve">Suspicious circumstances (opaque ownership structure, non-standard payment terms, attempts at concealment) are reported to the designated person and investigated.</w:t>
      </w:r>
    </w:p>
    <w:p>
      <w:pPr>
        <w:pStyle w:val="Heading1"/>
      </w:pPr>
      <w:r>
        <w:t xml:space="preserve">5. Relationship with Business Partners and Suppliers</w:t>
      </w:r>
    </w:p>
    <w:p>
      <w:pPr>
        <w:spacing w:after="120"/>
      </w:pPr>
      <w:r>
        <w:t xml:space="preserve">The Company requires its business partners and suppliers to observe principles comparable to this directive. A commitment to ethical conduct may form part of contractual arrangements and supplier evaluation.</w:t>
      </w:r>
    </w:p>
    <w:p>
      <w:pPr>
        <w:pStyle w:val="Heading1"/>
      </w:pPr>
      <w:r>
        <w:t xml:space="preserve">6. Responsibilities and Training</w:t>
      </w:r>
    </w:p>
    <w:p>
      <w:pPr>
        <w:pStyle w:val="ListParagraph"/>
        <w:numPr>
          <w:ilvl w:val="0"/>
          <w:numId w:val="2"/>
        </w:numPr>
        <w:spacing w:after="60"/>
      </w:pPr>
      <w:r>
        <w:t xml:space="preserve">The Company’s management is responsible for enforcing this directive and leads by example (tone at the top).</w:t>
      </w:r>
    </w:p>
    <w:p>
      <w:pPr>
        <w:pStyle w:val="ListParagraph"/>
        <w:numPr>
          <w:ilvl w:val="0"/>
          <w:numId w:val="2"/>
        </w:numPr>
        <w:spacing w:after="60"/>
      </w:pPr>
      <w:r>
        <w:t xml:space="preserve">Every employee is responsible for observing the principles within the scope of their role.</w:t>
      </w:r>
    </w:p>
    <w:p>
      <w:pPr>
        <w:pStyle w:val="ListParagraph"/>
        <w:numPr>
          <w:ilvl w:val="0"/>
          <w:numId w:val="2"/>
        </w:numPr>
        <w:spacing w:after="60"/>
      </w:pPr>
      <w:r>
        <w:rPr>
          <w:b/>
          <w:bCs/>
        </w:rPr>
        <w:t xml:space="preserve">Designated person (compliance / responsible person): </w:t>
      </w:r>
      <w:r>
        <w:t xml:space="preserve">Zuzana Duspivová maintains the gift register, oversees the screening of business partners and receives reports.</w:t>
      </w:r>
    </w:p>
    <w:p>
      <w:pPr>
        <w:pStyle w:val="ListParagraph"/>
        <w:numPr>
          <w:ilvl w:val="0"/>
          <w:numId w:val="2"/>
        </w:numPr>
        <w:spacing w:after="60"/>
      </w:pPr>
      <w:r>
        <w:t xml:space="preserve">Employees are demonstrably acquainted with this directive and regularly trained (at least once a year and upon joining).</w:t>
      </w:r>
    </w:p>
    <w:p>
      <w:pPr>
        <w:pStyle w:val="Heading1"/>
      </w:pPr>
      <w:r>
        <w:t xml:space="preserve">7. Whistleblowing and Whistleblower Protection</w:t>
      </w:r>
    </w:p>
    <w:p>
      <w:pPr>
        <w:spacing w:after="120"/>
      </w:pPr>
      <w:r>
        <w:t xml:space="preserve">The Company has established an internal reporting system in accordance with Act No. 171/2023 Coll., on the protection of whistleblowers. Any suspicion of corruption, bribery, money laundering or breach of this directive may be reported.</w:t>
      </w:r>
    </w:p>
    <w:p>
      <w:pPr>
        <w:pStyle w:val="ListParagraph"/>
        <w:numPr>
          <w:ilvl w:val="0"/>
          <w:numId w:val="2"/>
        </w:numPr>
        <w:spacing w:after="60"/>
      </w:pPr>
      <w:r>
        <w:rPr>
          <w:b/>
          <w:bCs/>
        </w:rPr>
        <w:t xml:space="preserve">Reporting channel: </w:t>
      </w:r>
      <w:r>
        <w:t xml:space="preserve">reports are submitted to marti-ai@eurosoft.com. The channel is separate from the direct superior line and reports are handled by the responsible person; reports may also be made in writing or orally to the responsible person.</w:t>
      </w:r>
    </w:p>
    <w:p>
      <w:pPr>
        <w:pStyle w:val="ListParagraph"/>
        <w:numPr>
          <w:ilvl w:val="0"/>
          <w:numId w:val="2"/>
        </w:numPr>
        <w:spacing w:after="60"/>
      </w:pPr>
      <w:r>
        <w:rPr>
          <w:b/>
          <w:bCs/>
        </w:rPr>
        <w:t xml:space="preserve">Deadlines: </w:t>
      </w:r>
      <w:r>
        <w:t xml:space="preserve">receipt of a report is confirmed to the whistleblower within 7 days; the whistleblower is informed of the outcome of the assessment within 3 months.</w:t>
      </w:r>
    </w:p>
    <w:p>
      <w:pPr>
        <w:pStyle w:val="ListParagraph"/>
        <w:numPr>
          <w:ilvl w:val="0"/>
          <w:numId w:val="2"/>
        </w:numPr>
        <w:spacing w:after="60"/>
      </w:pPr>
      <w:r>
        <w:t xml:space="preserve">A whistleblower acting in good faith is protected against any retaliation. The confidentiality of the whistleblower’s identity is guaranteed.</w:t>
      </w:r>
    </w:p>
    <w:p>
      <w:pPr>
        <w:pStyle w:val="Heading1"/>
      </w:pPr>
      <w:r>
        <w:t xml:space="preserve">8. Sanctions for Violations</w:t>
      </w:r>
    </w:p>
    <w:p>
      <w:pPr>
        <w:spacing w:after="120"/>
      </w:pPr>
      <w:r>
        <w:t xml:space="preserve">A breach of this directive is a serious breach of work obligations and may lead to labour-law measures up to termination of employment, to termination of the business relationship and, where applicable, to legal liability (civil and criminal).</w:t>
      </w:r>
    </w:p>
    <w:p>
      <w:pPr>
        <w:pStyle w:val="Heading1"/>
      </w:pPr>
      <w:r>
        <w:t xml:space="preserve">9. Link to the Management System (ISMS / TISAX)</w:t>
      </w:r>
    </w:p>
    <w:p>
      <w:pPr>
        <w:spacing w:after="120"/>
      </w:pPr>
      <w:r>
        <w:t xml:space="preserve">This directive is part of the Company’s information security management system (ISO/IEC 27001, TISAX) and complements it in the area of business ethics and compliance. Observing these principles contributes to protecting the Company’s good reputation and trustworthiness towards customers and partners.</w:t>
      </w:r>
    </w:p>
    <w:p>
      <w:pPr>
        <w:pStyle w:val="Heading1"/>
      </w:pPr>
      <w:r>
        <w:t xml:space="preserve">10. Review and Update</w:t>
      </w:r>
    </w:p>
    <w:p>
      <w:pPr>
        <w:spacing w:after="120"/>
      </w:pPr>
      <w:r>
        <w:t xml:space="preserve">The directive is reviewed at least once a year and further upon any significant change in legislation, customer requirements or internal processes. The designated person (compliance) is responsible for the review and update in cooperation with management.</w:t>
      </w:r>
    </w:p>
    <w:p>
      <w:pPr>
        <w:pStyle w:val="Heading1"/>
      </w:pPr>
      <w:r>
        <w:t xml:space="preserve">11. Approval and Effectiveness</w:t>
      </w:r>
    </w:p>
    <w:p>
      <w:pPr>
        <w:spacing w:after="120"/>
      </w:pPr>
      <w:r>
        <w:t xml:space="preserve">This directive takes effect on 26 June 2026 and was approved by the Company’s management.</w:t>
      </w:r>
    </w:p>
    <w:p>
      <w:pPr>
        <w:spacing w:after="0" w:before="240"/>
      </w:pPr>
      <w:r>
        <w:rPr>
          <w:color w:val="333333"/>
        </w:rPr>
        <w:t xml:space="preserve">Approved by: ........................................          Date: ................</w:t>
      </w:r>
    </w:p>
    <w:p>
      <w:pPr>
        <w:spacing w:after="0" w:before="160"/>
      </w:pPr>
      <w:r>
        <w:rPr>
          <w:color w:val="888888"/>
          <w:sz w:val="18"/>
          <w:szCs w:val="18"/>
        </w:rPr>
        <w:t xml:space="preserve">Marti Pašek, Managing Director</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c021e1658fcb14057c3d5b8380b517b5826c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2026-06-26T19:01:54.416Z</dcterms:created>
  <dcterms:modified xsi:type="dcterms:W3CDTF">2026-06-26T19:01:54.416Z</dcterms:modified>
</cp:coreProperties>
</file>

<file path=docProps/custom.xml><?xml version="1.0" encoding="utf-8"?>
<Properties xmlns="http://schemas.openxmlformats.org/officeDocument/2006/custom-properties" xmlns:vt="http://schemas.openxmlformats.org/officeDocument/2006/docPropsVTypes"/>
</file>