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before="400"/>
        <w:jc w:val="center"/>
        <w:shd w:val="clear" w:fill="D9D9D9"/>
      </w:pPr>
      <w:r>
        <w:rPr>
          <w:rFonts w:ascii="Verdana" w:hAnsi="Verdana"/>
          <w:b w:val="0"/>
          <w:sz w:val="28"/>
        </w:rPr>
        <w:t>Dodatek č. 1 k pracovní smlouvě ze dne 1. září 2025</w:t>
      </w:r>
    </w:p>
    <w:p>
      <w:pPr>
        <w:keepNext w:val="0"/>
        <w:spacing w:after="240" w:before="0"/>
        <w:jc w:val="center"/>
        <w:shd w:val="clear" w:fill="D9D9D9"/>
      </w:pPr>
      <w:r>
        <w:rPr>
          <w:rFonts w:ascii="Verdana" w:hAnsi="Verdana" w:cs="Verdana"/>
          <w:b w:val="0"/>
          <w:color w:val="111111"/>
          <w:sz w:val="24"/>
        </w:rPr>
        <w:t>(Prodloužení / změna doby trvání pracovního poměru)</w:t>
      </w:r>
    </w:p>
    <w:p>
      <w:pPr>
        <w:keepNext w:val="0"/>
        <w:spacing w:after="0" w:before="0"/>
        <w:jc w:val="center"/>
      </w:pPr>
      <w:r>
        <w:rPr>
          <w:rFonts w:ascii="Verdana" w:hAnsi="Verdana" w:cs="Verdana"/>
          <w:b w:val="0"/>
          <w:color w:val="111111"/>
          <w:sz w:val="20"/>
        </w:rPr>
        <w:t xml:space="preserve">Mezi </w:t>
      </w:r>
      <w:r>
        <w:rPr>
          <w:rFonts w:ascii="Verdana" w:hAnsi="Verdana" w:cs="Verdana"/>
          <w:b/>
          <w:color w:val="111111"/>
          <w:sz w:val="20"/>
        </w:rPr>
        <w:t>EUROSOFT – Control s.r.o.</w:t>
      </w:r>
    </w:p>
    <w:p>
      <w:pPr>
        <w:keepNext w:val="0"/>
        <w:spacing w:after="0" w:before="0"/>
        <w:jc w:val="center"/>
      </w:pPr>
      <w:r>
        <w:rPr>
          <w:rFonts w:ascii="Verdana" w:hAnsi="Verdana" w:cs="Verdana"/>
          <w:b w:val="0"/>
          <w:color w:val="111111"/>
          <w:sz w:val="20"/>
        </w:rPr>
        <w:t>se sídlem: Nepomucká 259, 326 00 Plzeň</w:t>
      </w:r>
    </w:p>
    <w:p>
      <w:pPr>
        <w:keepNext w:val="0"/>
        <w:spacing w:after="0" w:before="0"/>
        <w:jc w:val="center"/>
      </w:pPr>
      <w:r>
        <w:rPr>
          <w:rFonts w:ascii="Verdana" w:hAnsi="Verdana" w:cs="Verdana"/>
          <w:b w:val="0"/>
          <w:color w:val="111111"/>
          <w:sz w:val="20"/>
        </w:rPr>
        <w:t>IČO: 27960862</w:t>
      </w:r>
    </w:p>
    <w:p>
      <w:pPr>
        <w:keepNext w:val="0"/>
        <w:spacing w:after="0" w:before="0"/>
        <w:jc w:val="center"/>
      </w:pPr>
      <w:r>
        <w:rPr>
          <w:rFonts w:ascii="Verdana" w:hAnsi="Verdana" w:cs="Verdana"/>
          <w:b w:val="0"/>
          <w:color w:val="111111"/>
          <w:sz w:val="20"/>
        </w:rPr>
        <w:t>zapsaná v obchodním rejstříku vedeném Krajským soudem v Plzni, oddíl C, vložka 18759</w:t>
      </w:r>
    </w:p>
    <w:p>
      <w:pPr>
        <w:keepNext w:val="0"/>
        <w:spacing w:after="0" w:before="0"/>
        <w:jc w:val="center"/>
      </w:pPr>
      <w:r>
        <w:rPr>
          <w:rFonts w:ascii="Verdana" w:hAnsi="Verdana" w:cs="Verdana"/>
          <w:b w:val="0"/>
          <w:color w:val="111111"/>
          <w:sz w:val="20"/>
        </w:rPr>
        <w:t>zastoupená: Marti Paškem, jednatelem, a Branislavem Mózerem, jednatelem</w:t>
      </w:r>
    </w:p>
    <w:p>
      <w:pPr>
        <w:keepNext w:val="0"/>
        <w:spacing w:after="120" w:before="0"/>
        <w:jc w:val="center"/>
      </w:pPr>
      <w:r>
        <w:rPr>
          <w:rFonts w:ascii="Verdana" w:hAnsi="Verdana" w:cs="Verdana"/>
          <w:b w:val="0"/>
          <w:color w:val="111111"/>
          <w:sz w:val="20"/>
        </w:rPr>
        <w:t>– dále jen zaměstnavatel –</w:t>
      </w:r>
    </w:p>
    <w:p>
      <w:pPr>
        <w:keepNext w:val="0"/>
        <w:spacing w:after="120" w:before="0"/>
        <w:jc w:val="center"/>
      </w:pPr>
      <w:r>
        <w:rPr>
          <w:rFonts w:ascii="Verdana" w:hAnsi="Verdana" w:cs="Verdana"/>
          <w:b w:val="0"/>
          <w:color w:val="111111"/>
          <w:sz w:val="20"/>
        </w:rPr>
        <w:t>a</w:t>
      </w:r>
    </w:p>
    <w:p>
      <w:pPr>
        <w:keepNext w:val="0"/>
        <w:spacing w:after="0" w:before="0"/>
        <w:jc w:val="center"/>
      </w:pPr>
      <w:r>
        <w:rPr>
          <w:rFonts w:ascii="Verdana" w:hAnsi="Verdana" w:cs="Verdana"/>
          <w:b/>
          <w:color w:val="111111"/>
          <w:sz w:val="20"/>
        </w:rPr>
        <w:t>Jakub Kasal</w:t>
      </w:r>
      <w:r>
        <w:rPr>
          <w:rFonts w:ascii="Verdana" w:hAnsi="Verdana" w:cs="Verdana"/>
          <w:b w:val="0"/>
          <w:color w:val="111111"/>
          <w:sz w:val="20"/>
        </w:rPr>
        <w:t>, narozen 22. dubna 1993</w:t>
      </w:r>
    </w:p>
    <w:p>
      <w:pPr>
        <w:keepNext w:val="0"/>
        <w:spacing w:after="0" w:before="0"/>
        <w:jc w:val="center"/>
      </w:pPr>
      <w:r>
        <w:rPr>
          <w:rFonts w:ascii="Verdana" w:hAnsi="Verdana" w:cs="Verdana"/>
          <w:b w:val="0"/>
          <w:color w:val="111111"/>
          <w:sz w:val="20"/>
        </w:rPr>
        <w:t>trvalé bydliště: Jetelová 2275/21, 326 00 Plzeň</w:t>
      </w:r>
    </w:p>
    <w:p>
      <w:pPr>
        <w:keepNext w:val="0"/>
        <w:spacing w:after="160" w:before="0"/>
        <w:jc w:val="center"/>
      </w:pPr>
      <w:r>
        <w:rPr>
          <w:rFonts w:ascii="Verdana" w:hAnsi="Verdana" w:cs="Verdana"/>
          <w:b w:val="0"/>
          <w:color w:val="111111"/>
          <w:sz w:val="20"/>
        </w:rPr>
        <w:t>– dále jen zaměstnanec –</w:t>
      </w:r>
    </w:p>
    <w:p>
      <w:pPr>
        <w:keepNext w:val="0"/>
        <w:spacing w:after="240" w:before="0"/>
        <w:jc w:val="center"/>
      </w:pPr>
      <w:r>
        <w:rPr>
          <w:rFonts w:ascii="Verdana" w:hAnsi="Verdana" w:cs="Verdana"/>
          <w:b w:val="0"/>
          <w:color w:val="111111"/>
          <w:sz w:val="18"/>
        </w:rPr>
        <w:t>se uzavírá následující dodatek k pracovní smlouvě:</w:t>
      </w:r>
    </w:p>
    <w:p>
      <w:pPr>
        <w:keepNext/>
        <w:spacing w:after="80" w:before="80"/>
        <w:jc w:val="both"/>
      </w:pPr>
      <w:r>
        <w:rPr>
          <w:rFonts w:ascii="Verdana" w:hAnsi="Verdana" w:cs="Verdana"/>
          <w:b/>
          <w:color w:val="111111"/>
          <w:sz w:val="18"/>
        </w:rPr>
        <w:t>1. Předmět dodatku</w:t>
      </w:r>
    </w:p>
    <w:p>
      <w:pPr>
        <w:keepNext w:val="0"/>
        <w:spacing w:after="120" w:before="0"/>
        <w:jc w:val="both"/>
      </w:pPr>
      <w:r>
        <w:rPr>
          <w:rFonts w:ascii="Verdana" w:hAnsi="Verdana" w:cs="Verdana"/>
          <w:b w:val="0"/>
          <w:color w:val="111111"/>
          <w:sz w:val="18"/>
        </w:rPr>
        <w:t>Smluvní strany uzavřely dne 1. září 2025 pracovní smlouvu, na jejímž základě byl sjednán pracovní poměr na dobu určitou do 31. srpna 2026. Smluvní strany se tímto dodatkem dohodly na změně trvání pracovního poměru takto:</w:t>
      </w:r>
    </w:p>
    <w:p>
      <w:pPr>
        <w:keepNext w:val="0"/>
        <w:spacing w:after="120" w:before="0"/>
        <w:ind w:left="454" w:hanging="312"/>
        <w:jc w:val="both"/>
      </w:pPr>
      <w:r>
        <w:rPr>
          <w:rFonts w:ascii="Verdana" w:hAnsi="Verdana" w:cs="Verdana"/>
          <w:b w:val="0"/>
          <w:color w:val="111111"/>
          <w:sz w:val="18"/>
        </w:rPr>
        <w:t>Ustanovení § 1, odst. 2 pracovní smlouvy se mění tak, že pracovní poměr se s účinností od 1. září 2026 sjednává na dobu neurčitou.</w:t>
      </w:r>
    </w:p>
    <w:p>
      <w:pPr>
        <w:keepNext/>
        <w:spacing w:after="80" w:before="120"/>
        <w:jc w:val="both"/>
      </w:pPr>
      <w:r>
        <w:rPr>
          <w:rFonts w:ascii="Verdana" w:hAnsi="Verdana" w:cs="Verdana"/>
          <w:b/>
          <w:color w:val="111111"/>
          <w:sz w:val="18"/>
        </w:rPr>
        <w:t>2. Závěrečná ustanovení</w:t>
      </w:r>
    </w:p>
    <w:p>
      <w:pPr>
        <w:keepNext w:val="0"/>
        <w:spacing w:after="80" w:before="0"/>
        <w:ind w:left="454" w:hanging="312"/>
        <w:jc w:val="both"/>
      </w:pPr>
      <w:r>
        <w:rPr>
          <w:rFonts w:ascii="Verdana" w:hAnsi="Verdana" w:cs="Verdana"/>
          <w:b w:val="0"/>
          <w:color w:val="111111"/>
          <w:sz w:val="18"/>
        </w:rPr>
        <w:t>1. Ostatní ustanovení pracovní smlouvy ze dne 1. září 2025, která nejsou tímto dodatkem dotčena, zůstávají v platnosti v původním znění.</w:t>
      </w:r>
    </w:p>
    <w:p>
      <w:pPr>
        <w:keepNext w:val="0"/>
        <w:spacing w:after="80" w:before="0"/>
        <w:ind w:left="454" w:hanging="312"/>
        <w:jc w:val="both"/>
      </w:pPr>
      <w:r>
        <w:rPr>
          <w:rFonts w:ascii="Verdana" w:hAnsi="Verdana" w:cs="Verdana"/>
          <w:b w:val="0"/>
          <w:color w:val="111111"/>
          <w:sz w:val="18"/>
        </w:rPr>
        <w:t>2. Tento dodatek je vyhotoven ve dvou stejnopisech, z nichž každá smluvní strana obdrží jeden.</w:t>
      </w:r>
    </w:p>
    <w:p>
      <w:pPr>
        <w:keepNext w:val="0"/>
        <w:spacing w:after="240" w:before="0"/>
        <w:ind w:left="454" w:hanging="312"/>
        <w:jc w:val="both"/>
      </w:pPr>
      <w:r>
        <w:rPr>
          <w:rFonts w:ascii="Verdana" w:hAnsi="Verdana" w:cs="Verdana"/>
          <w:b w:val="0"/>
          <w:color w:val="111111"/>
          <w:sz w:val="18"/>
        </w:rPr>
        <w:t>3. Smluvní strany prohlašují, že si dodatek přečetly, s jeho obsahem souhlasí a na důkaz toho připojují své podpisy.</w:t>
      </w:r>
    </w:p>
    <w:p>
      <w:pPr>
        <w:keepNext w:val="0"/>
        <w:spacing w:after="240" w:before="0"/>
        <w:ind w:left="454" w:hanging="312"/>
        <w:jc w:val="both"/>
      </w:pPr>
      <w:r>
        <w:rPr>
          <w:rFonts w:ascii="Verdana" w:hAnsi="Verdana" w:cs="Verdana"/>
          <w:b w:val="0"/>
          <w:color w:val="111111"/>
          <w:sz w:val="18"/>
        </w:rPr>
        <w:t>Tento dodatek nabývá platnosti a účinnosti dnem jeho podpisu oběma smluvními stranami.</w:t>
      </w:r>
    </w:p>
    <w:p>
      <w:pPr>
        <w:keepNext/>
        <w:keepLines/>
        <w:spacing w:after="800" w:before="360"/>
        <w:jc w:val="both"/>
      </w:pPr>
      <w:r>
        <w:rPr>
          <w:rFonts w:ascii="Verdana" w:hAnsi="Verdana" w:cs="Verdana"/>
          <w:b w:val="0"/>
          <w:color w:val="111111"/>
          <w:sz w:val="18"/>
        </w:rPr>
        <w:t>V Plzni dne 3. srpna 2026</w:t>
      </w:r>
    </w:p>
    <w:tbl>
      <w:tblPr>
        <w:tblW w:type="auto" w:w="0"/>
        <w:tblLook w:firstColumn="1" w:firstRow="1" w:lastColumn="0" w:lastRow="0" w:noHBand="0" w:noVBand="1" w:val="04A0"/>
        <w:tblBorders>
          <w:top w:val="none"/>
          <w:left w:val="none"/>
          <w:bottom w:val="none"/>
          <w:right w:val="none"/>
          <w:insideH w:val="none"/>
          <w:insideV w:val="none"/>
        </w:tblBorders>
      </w:tblPr>
      <w:tblGrid>
        <w:gridCol w:w="4706"/>
        <w:gridCol w:w="4706"/>
      </w:tblGrid>
      <w:tr>
        <w:trPr>
          <w:cantSplit/>
        </w:trPr>
        <w:tc>
          <w:tcPr>
            <w:tcW w:type="dxa" w:w="4706"/>
          </w:tcPr>
          <w:p>
            <w:pPr>
              <w:keepLines/>
              <w:spacing w:after="0" w:before="0"/>
              <w:jc w:val="center"/>
            </w:pPr>
            <w: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18"/>
              </w:rPr>
              <w:t>EUROSOFT – Control s.r.o., zaměstnavatel</w:t>
            </w:r>
          </w:p>
          <w:p>
            <w:pPr>
              <w:keepLines/>
              <w:spacing w:after="0" w:before="0"/>
              <w:jc w:val="center"/>
            </w:pPr>
            <w:r>
              <w:rPr>
                <w:rFonts w:ascii="Verdana" w:hAnsi="Verdana" w:cs="Verdana"/>
                <w:b w:val="0"/>
                <w:color w:val="111111"/>
                <w:sz w:val="18"/>
              </w:rPr>
              <w:t>Marti Pašek, jednatel</w:t>
            </w:r>
          </w:p>
          <w:p>
            <w:pPr>
              <w:keepLines/>
              <w:spacing w:after="0" w:before="0"/>
              <w:jc w:val="center"/>
            </w:pPr>
            <w:r>
              <w:rPr>
                <w:rFonts w:ascii="Verdana" w:hAnsi="Verdana" w:cs="Verdana"/>
                <w:b w:val="0"/>
                <w:color w:val="111111"/>
                <w:sz w:val="18"/>
              </w:rPr>
            </w:r>
          </w:p>
          <w:p>
            <w:pPr>
              <w:keepLines/>
              <w:spacing w:after="0" w:before="0"/>
              <w:jc w:val="center"/>
            </w:pPr>
            <w:r>
              <w:rPr>
                <w:rFonts w:ascii="Verdana" w:hAnsi="Verdana" w:cs="Verdana"/>
                <w:b w:val="0"/>
                <w:color w:val="111111"/>
                <w:sz w:val="18"/>
              </w:rPr>
            </w:r>
          </w:p>
          <w:p>
            <w:pPr>
              <w:keepLines/>
              <w:spacing w:after="0" w:before="0"/>
              <w:jc w:val="center"/>
            </w:pP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18"/>
              </w:rPr>
              <w:t>EUROSOFT – Control s.r.o., zaměstnavatel</w:t>
            </w:r>
          </w:p>
          <w:p>
            <w:pPr>
              <w:keepLines/>
              <w:spacing w:after="0" w:before="0"/>
              <w:jc w:val="center"/>
            </w:pPr>
            <w:r>
              <w:rPr>
                <w:rFonts w:ascii="Verdana" w:hAnsi="Verdana" w:cs="Verdana"/>
                <w:b w:val="0"/>
                <w:color w:val="111111"/>
                <w:sz w:val="18"/>
              </w:rPr>
              <w:t>Branislav Mózer, jednatel</w:t>
            </w:r>
          </w:p>
        </w:tc>
        <w:tc>
          <w:tcPr>
            <w:tcW w:type="dxa" w:w="4706"/>
          </w:tcPr>
          <w:p>
            <w:pPr>
              <w:keepLines/>
              <w:spacing w:after="0" w:before="0"/>
              <w:jc w:val="center"/>
            </w:pPr>
            <w:r/>
            <w:r>
              <w:rPr>
                <w:rFonts w:ascii="Verdana" w:hAnsi="Verdana" w:cs="Verdana"/>
                <w:b w:val="0"/>
                <w:color w:val="111111"/>
                <w:sz w:val="18"/>
              </w:rPr>
              <w:t>______________________________</w:t>
            </w:r>
          </w:p>
          <w:p>
            <w:pPr>
              <w:keepLines/>
              <w:spacing w:after="0" w:before="0"/>
              <w:jc w:val="center"/>
            </w:pPr>
            <w:r>
              <w:rPr>
                <w:rFonts w:ascii="Verdana" w:hAnsi="Verdana" w:cs="Verdana"/>
                <w:b w:val="0"/>
                <w:color w:val="111111"/>
                <w:sz w:val="18"/>
              </w:rPr>
              <w:t>zaměstnanec</w:t>
            </w:r>
          </w:p>
          <w:p>
            <w:pPr>
              <w:keepLines/>
              <w:spacing w:after="0" w:before="0"/>
              <w:jc w:val="center"/>
            </w:pPr>
            <w:r>
              <w:rPr>
                <w:rFonts w:ascii="Verdana" w:hAnsi="Verdana" w:cs="Verdana"/>
                <w:b w:val="0"/>
                <w:color w:val="111111"/>
                <w:sz w:val="18"/>
              </w:rPr>
              <w:t>Jakub Kasal</w:t>
            </w:r>
          </w:p>
        </w:tc>
      </w:tr>
    </w:tbl>
    <w:sectPr w:rsidR="00FC693F" w:rsidRPr="0006063C" w:rsidSect="00034616">
      <w:headerReference w:type="default" r:id="rId9"/>
      <w:footerReference w:type="default" r:id="rId10"/>
      <w:pgSz w:w="11906" w:h="16838"/>
      <w:pgMar w:top="1474" w:right="1247" w:bottom="1247" w:left="1247" w:header="56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
      <w:rPr>
        <w:rFonts w:ascii="Verdana" w:hAnsi="Verdana" w:cs="Verdana"/>
        <w:b w:val="0"/>
        <w:color w:val="595959"/>
        <w:sz w:val="12"/>
      </w:rPr>
      <w:t>Soubor: EC_Dodatek_Prodlouzeni_Kasal_V1_260723</w:t>
      <w:tab/>
    </w:r>
    <w:r>
      <w:rPr>
        <w:rFonts w:ascii="Verdana" w:hAnsi="Verdana" w:cs="Verdana"/>
        <w:b w:val="0"/>
        <w:color w:val="595959"/>
        <w:sz w:val="12"/>
      </w:rPr>
      <w:t xml:space="preserve">Strana </w:t>
    </w:r>
    <w:r>
      <w:rPr>
        <w:rFonts w:ascii="Verdana" w:hAnsi="Verdana" w:cs="Verdana"/>
        <w:b w:val="0"/>
        <w:color w:val="595959"/>
        <w:sz w:val="12"/>
      </w:rPr>
      <w:fldChar w:fldCharType="begin"/>
      <w:instrText xml:space="preserve">PAGE</w:instrText>
      <w:fldChar w:fldCharType="end"/>
    </w:r>
    <w:r>
      <w:rPr>
        <w:rFonts w:ascii="Verdana" w:hAnsi="Verdana" w:cs="Verdana"/>
        <w:b w:val="0"/>
        <w:color w:val="595959"/>
        <w:sz w:val="12"/>
      </w:rPr>
      <w:t xml:space="preserve"> (celkem </w:t>
    </w:r>
    <w:r>
      <w:rPr>
        <w:rFonts w:ascii="Verdana" w:hAnsi="Verdana" w:cs="Verdana"/>
        <w:b w:val="0"/>
        <w:color w:val="595959"/>
        <w:sz w:val="12"/>
      </w:rPr>
      <w:fldChar w:fldCharType="begin"/>
      <w:instrText xml:space="preserve">NUMPAGES</w:instrText>
      <w:fldChar w:fldCharType="end"/>
    </w:r>
    <w:r>
      <w:rPr>
        <w:rFonts w:ascii="Verdana" w:hAnsi="Verdana" w:cs="Verdana"/>
        <w:b w:val="0"/>
        <w:color w:val="595959"/>
        <w:sz w:val="12"/>
      </w:rPr>
      <w: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2088000" cy="318316"/>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2088000" cy="3183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cs="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