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srážkách ze mzdy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146 a násl.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srážkách ze mzdy: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1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Zaměstnavatel poskytuje zaměstnanci mobilní tarif pro pracovní odchozí hovory a SMS podle interní směrnice společnosti.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Zaměstnanec souhlasí s tím, aby zaměstnavatel prováděl srážky z jeho mzdy k úhradě částky, o kterou zaměstnanec překročí rozsah tarifu stanovený interní směrnicí (dále jen „pohledávka“).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2 Výše a provádění srážek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Srážky se provádějí ve výši odpovídající pohledávce, počínaje nejbližším výplatním termínem po jejím vzniku, až do úplného uhrazení.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Srážky ze mzdy se provádějí v souladu s § 146 a násl. zákoníku práce; při jejich provádění musí být zaměstnanci vždy zachována nezabavitelná (základní) částka podle právních předpisů.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3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Tato 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Tato dohoda nabývá platnosti a účinnosti dnem jejího podpisu oběma smluvními stranami; lze ji kdykoli ukončit písemnou dohodou stran a zaniká rovněž úplným uhrazením pohledávky.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3. Smluvní strany prohlašují, že s obsahem této dohody souhlasí,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EC_DohodaSrazkyZeMzdy_SABLONA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