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28"/>
        </w:rPr>
        <w:t>Prohlášení o důvěrnosti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(dodavatel – OSVČ)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</w:t>
      </w:r>
    </w:p>
    <w:p>
      <w:pPr>
        <w:keepNext w:val="0"/>
        <w:spacing w:after="160" w:before="0"/>
        <w:jc w:val="center"/>
      </w:pPr>
      <w:r>
        <w:t>– dále jen odběratel –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«Jméno a příjmení»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místo podnikání: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«Ulice č.p./č.o., PSČ Obec»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IČO: 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«XXXXXXXX»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zapsán/a v živnostenském rejstříku</w:t>
      </w:r>
    </w:p>
    <w:p>
      <w:pPr>
        <w:keepNext w:val="0"/>
        <w:spacing w:after="200" w:before="0"/>
        <w:jc w:val="center"/>
      </w:pPr>
      <w:r>
        <w:t>– dále jen dodavatel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se uzavírá toto prohlášení o důvěrnosti: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prohlášení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V rámci spolupráce budou dodavateli zpřístupněny dokumenty a podklady obsahující důvěrné informace a data týkající se společností EUROSOFT – Control s.r.o. a EUROSOFT – System s.r.o., a to v písemné i elektronické podobě. Dodavatel s nimi může nakládat pouze v rozsahu nezbytném pro plnění sjednaných služeb.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2. Důvěrnost a ochrana dat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Dodavatel se zavazuje nakládat se všemi obdrženými informacemi výhradně jako s důvěrnými. Tyto informace budou využívány pouze k plnění služeb objednaných odběratelem.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Dodavatel nebude přistupovat k žádným datům, která bezprostředně nepotřebuje k realizaci objednaných služeb.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Dodavatel nesmí zpřístupnit důvěrná data třetím osobám, zveřejňovat je ani využívat k jiným účelům.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Kopie dokumentů (v papírové či elektronické podobě) může dodavatel pořizovat jen se souhlasem odběratele a pouze pro účely poskytovaných služeb.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5. Dodavatel se zavazuje k zachování mlčenlivosti o všech důvěrných údajích, organizačních záležitostech a obchodních aktivitách odběratele. Tento závazek se vztahuje i na jeho zaměstnance a subdodavatele.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6. Dodavatel zpracovává osobní údaje, k nimž získá přístup, výhradně podle pokynů odběratele, v souladu s obecným nařízením (EU) 2016/679 (GDPR) a interními bezpečnostními směrnicemi odběratele.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7. Dodavatel nebude důvěrné informace ani osobní údaje přeposílat na soukromé e-mailové schránky ani je ukládat na neschválená úložiště (např. USB nebo soukromá cloudová úložiště), nebude obcházet bezpečnostní opatření odběratele a přístupové údaje (hesla) uchová v tajnosti.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8. Při skončení spolupráce dodavatel veškeré důvěrné informace a jejich nosiče vrátí a elektronické kopie, které nemusí vracet, trvale a nevratně odstraní.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3. Bankovní tajemství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Dodavatel se zavazuje k zachování bankovního tajemství.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4. Vyšší moc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Pokud budou výše uvedené závazky dodavatele porušeny z důvodu vyšší moci, například z důvodu loupežného přepadení či zcizení technických prostředků odběratele ve chvíli, kdy dochází k manipulaci s důvěrnými daty společnosti, bude dodavatel zproštěn odpovědnosti za náhradu škody. Dodavatel se však zavazuje, že ihned, jakmile to bude možné, o tom neprodleně informuje odběratele, a to nejprve telefonicky (na číslo IT oddělení +420 725 486 401) a poté písemně. Písemné ohlášení skutečnosti bude vyhotoveno ve dvou originálech, z nichž jeden obdrží odběratel a druhý zůstane dodavateli. Oba originály budou dodavatelem podepsány a na obou bude odběratelem potvrzeno, že dodavatel byl zproštěn odpovědnosti za náhradu škody.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Dodavatel se rovněž zavazuje k dodržování maximální možné opatrnosti tak, aby vznik takové situace byl minimalizován.</w:t>
      </w:r>
    </w:p>
    <w:p>
      <w:pPr>
        <w:keepNext/>
        <w:spacing w:after="80" w:before="80"/>
        <w:jc w:val="both"/>
      </w:pPr>
      <w:r>
        <w:rPr>
          <w:rFonts w:ascii="Verdana" w:hAnsi="Verdana" w:cs="Verdana"/>
          <w:b/>
          <w:color w:val="111111"/>
          <w:sz w:val="18"/>
        </w:rPr>
        <w:t>5. Další ustanovení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1. Tato povinnost platí i po ukončení spolupráce. Před ukončením spolupráce je dodavatel povinen odběrateli předat všechny písemné a jiné podklady, originály a kopie v papírové i elektronické podobě, související s činností odběratele.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2. Výjimkou jsou data, která byla uveřejněna jiným způsobem než porušením výše uvedených bodů.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3. Dodavatel bere na vědomí, že pokud poruší výše uvedené body, může odběratel uplatňovat náhradu vzniklé škody.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4. Veškeré spory vzniklé na základě tohoto prohlášení řeší občanský zákoník.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Toto prohlášení nabývá platnosti a účinnosti dnem jeho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odběratel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«Obchodní firma / jméno dodavatele dle IČO»</w:t>
            </w:r>
            <w:r>
              <w:rPr>
                <w:rFonts w:ascii="Verdana" w:hAnsi="Verdana"/>
                <w:sz w:val="18"/>
              </w:rPr>
              <w:t>, dodavatel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/>
                <w:sz w:val="18"/>
                <w:highlight w:val="yellow"/>
              </w:rPr>
              <w:t>«Jméno a příjmení»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EC_ProhlaseniDuvernost_Dodavatel_SABLONA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