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4D6E"/>
          <w:sz w:val="56"/>
          <w:szCs w:val="56"/>
        </w:rPr>
        <w:t xml:space="preserve">ANAPATH AI</w:t>
      </w:r>
    </w:p>
    <w:p>
      <w:pPr>
        <w:spacing w:after="0" w:before="80"/>
      </w:pPr>
    </w:p>
    <w:p>
      <w:pPr>
        <w:jc w:val="center"/>
      </w:pPr>
      <w:r>
        <w:rPr>
          <w:rFonts w:ascii="Arial" w:cs="Arial" w:eastAsia="Arial" w:hAnsi="Arial"/>
          <w:color w:val="2AAA8A"/>
          <w:sz w:val="32"/>
          <w:szCs w:val="32"/>
        </w:rPr>
        <w:t xml:space="preserve">Cahier des Charges Technique</w:t>
      </w:r>
    </w:p>
    <w:p>
      <w:pPr>
        <w:spacing w:after="0" w:before="60"/>
      </w:pPr>
    </w:p>
    <w:p>
      <w:pPr>
        <w:pBdr>
          <w:bottom w:val="single" w:color="2AAA8A" w:sz="6" w:space="1"/>
        </w:pBdr>
        <w:spacing w:after="0"/>
        <w:jc w:val="center"/>
      </w:pPr>
    </w:p>
    <w:p>
      <w:pPr>
        <w:spacing w:after="0" w:before="300"/>
      </w:pPr>
    </w:p>
    <w:p>
      <w:pPr>
        <w:jc w:val="center"/>
      </w:pPr>
      <w:r>
        <w:rPr>
          <w:rFonts w:ascii="Arial" w:cs="Arial" w:eastAsia="Arial" w:hAnsi="Arial"/>
          <w:b/>
          <w:bCs/>
          <w:color w:val="1B4D6E"/>
          <w:sz w:val="24"/>
          <w:szCs w:val="24"/>
        </w:rPr>
        <w:t xml:space="preserve">Spécifications complètes pour le développeur</w:t>
      </w:r>
    </w:p>
    <w:p>
      <w:pPr>
        <w:spacing w:after="0" w:before="60"/>
      </w:pPr>
    </w:p>
    <w:p>
      <w:pPr>
        <w:jc w:val="center"/>
      </w:pPr>
      <w:r>
        <w:rPr>
          <w:rFonts w:ascii="Arial" w:cs="Arial" w:eastAsia="Arial" w:hAnsi="Arial"/>
          <w:color w:val="777777"/>
          <w:sz w:val="20"/>
          <w:szCs w:val="20"/>
        </w:rPr>
        <w:t xml:space="preserve">Architecture, fonctionnalités, normes, sécurité, stack technique</w:t>
      </w:r>
    </w:p>
    <w:p>
      <w:pPr>
        <w:spacing w:after="0" w:before="300"/>
      </w:pPr>
    </w:p>
    <w:p>
      <w:pPr>
        <w:jc w:val="center"/>
      </w:pPr>
      <w:r>
        <w:rPr>
          <w:rFonts w:ascii="Arial" w:cs="Arial" w:eastAsia="Arial" w:hAnsi="Arial"/>
          <w:i/>
          <w:iCs/>
          <w:color w:val="777777"/>
          <w:sz w:val="20"/>
          <w:szCs w:val="20"/>
        </w:rPr>
        <w:t xml:space="preserve">Lexia — Avril 2026 — Confidentiel</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4D6E"/>
          <w:sz w:val="34"/>
          <w:szCs w:val="34"/>
        </w:rPr>
        <w:t xml:space="preserve">Table des matières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D6E"/>
          <w:sz w:val="34"/>
          <w:szCs w:val="34"/>
        </w:rPr>
        <w:t xml:space="preserve">1. Contexte &amp; positionnement produit</w:t>
      </w:r>
    </w:p>
    <w:p>
      <w:pPr>
        <w:spacing w:after="100" w:before="0"/>
        <w:jc w:val="both"/>
      </w:pPr>
      <w:r>
        <w:rPr>
          <w:rFonts w:ascii="Arial" w:cs="Arial" w:eastAsia="Arial" w:hAnsi="Arial"/>
          <w:b/>
          <w:bCs/>
          <w:color w:val="333333"/>
          <w:sz w:val="20"/>
          <w:szCs w:val="20"/>
        </w:rPr>
        <w:t xml:space="preserve">Anapath AI</w:t>
      </w:r>
      <w:r>
        <w:rPr>
          <w:rFonts w:ascii="Arial" w:cs="Arial" w:eastAsia="Arial" w:hAnsi="Arial"/>
          <w:color w:val="333333"/>
          <w:sz w:val="20"/>
          <w:szCs w:val="20"/>
        </w:rPr>
        <w:t xml:space="preserve"> est un outil web SaaS d’aide à la rédaction de comptes rendus anatomopathologiques à partir de dictée vocale. Le praticien dicte ses observations au microscope, l’IA transcrit, structure et formate le CR automatiquement.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2"/>
              <w:left w:val="single" w:color="E65100" w:sz="12"/>
              <w:bottom w:val="single" w:color="E65100" w:sz="2"/>
              <w:right w:val="single" w:color="E65100" w:sz="2"/>
            </w:tcBorders>
            <w:shd w:fill="FFF3E0"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 POSITIONNEMENT RÉGLEMENTAIRE CRITIQUE</w:t>
            </w:r>
          </w:p>
          <w:p>
            <w:pPr>
              <w:spacing w:after="40"/>
            </w:pPr>
            <w:r>
              <w:rPr>
                <w:rFonts w:ascii="Arial" w:cs="Arial" w:eastAsia="Arial" w:hAnsi="Arial"/>
                <w:b/>
                <w:bCs/>
                <w:color w:val="333333"/>
                <w:sz w:val="20"/>
                <w:szCs w:val="20"/>
              </w:rPr>
              <w:t xml:space="preserve">Anapath AI est un OUTIL DE PRODUCTIVITÉ, PAS un dispositif médical.</w:t>
            </w:r>
          </w:p>
          <w:p>
            <w:pPr>
              <w:spacing w:after="40"/>
            </w:pPr>
            <w:r>
              <w:rPr>
                <w:rFonts w:ascii="Arial" w:cs="Arial" w:eastAsia="Arial" w:hAnsi="Arial"/>
                <w:color w:val="333333"/>
                <w:sz w:val="19"/>
                <w:szCs w:val="19"/>
              </w:rPr>
              <w:t xml:space="preserve">L’IA ne diagnostique rien. Elle met en forme ce que le praticien a dicté.</w:t>
            </w:r>
          </w:p>
          <w:p>
            <w:pPr>
              <w:spacing w:after="40"/>
            </w:pPr>
            <w:r>
              <w:rPr>
                <w:rFonts w:ascii="Arial" w:cs="Arial" w:eastAsia="Arial" w:hAnsi="Arial"/>
                <w:color w:val="333333"/>
                <w:sz w:val="19"/>
                <w:szCs w:val="19"/>
              </w:rPr>
              <w:t xml:space="preserve">Le praticien valide TOUJOURS le CR final. Le document généré est une proposition, pas un diagnostic.</w:t>
            </w:r>
          </w:p>
          <w:p>
            <w:pPr>
              <w:spacing w:after="40"/>
            </w:pPr>
            <w:r>
              <w:rPr>
                <w:rFonts w:ascii="Arial" w:cs="Arial" w:eastAsia="Arial" w:hAnsi="Arial"/>
                <w:color w:val="333333"/>
                <w:sz w:val="19"/>
                <w:szCs w:val="19"/>
              </w:rPr>
              <w:t xml:space="preserve">Ce positionnement nous exempte du marquage CE (MDR 2017/745) et de la classification « IA à haut risque » (EU AI Act).</w:t>
            </w:r>
          </w:p>
          <w:p>
            <w:pPr>
              <w:spacing w:after="40"/>
            </w:pPr>
            <w:r>
              <w:rPr>
                <w:rFonts w:ascii="Arial" w:cs="Arial" w:eastAsia="Arial" w:hAnsi="Arial"/>
                <w:b/>
                <w:bCs/>
                <w:color w:val="333333"/>
                <w:sz w:val="20"/>
                <w:szCs w:val="20"/>
              </w:rPr>
              <w:t xml:space="preserve">Conséquences pour le dev : </w:t>
            </w:r>
            <w:r>
              <w:rPr>
                <w:rFonts w:ascii="Arial" w:cs="Arial" w:eastAsia="Arial" w:hAnsi="Arial"/>
                <w:color w:val="333333"/>
                <w:sz w:val="20"/>
                <w:szCs w:val="20"/>
              </w:rPr>
              <w:t xml:space="preserve">JAMAIS utiliser des termes comme « diagnostique », « détecte », « prédit » dans l’UI, les logs, les noms de fonctions, ou les commentaires. Utiliser « structure », « formate », « génère », « propose ».</w:t>
            </w:r>
          </w:p>
        </w:tc>
      </w:tr>
    </w:tbl>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Règlement MDR 2017/745 — https://eur-lex.europa.eu/eli/reg/2017/745/oj</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MDCG 2019-11 Rev.1 — Qualification logiciel — https://health.ec.europa.eu/latest-updates/update-mdcg-2019-11-rev1</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EU AI Act 2024/1689 — https://eur-lex.europa.eu/eli/reg/2024/1689/oj</w:t>
      </w:r>
    </w:p>
    <w:p>
      <w:pPr>
        <w:pStyle w:val="Heading2"/>
      </w:pPr>
      <w:r>
        <w:rPr>
          <w:rFonts w:ascii="Arial" w:cs="Arial" w:eastAsia="Arial" w:hAnsi="Arial"/>
          <w:b/>
          <w:bCs/>
          <w:color w:val="2AAA8A"/>
          <w:sz w:val="26"/>
          <w:szCs w:val="26"/>
        </w:rPr>
        <w:t xml:space="preserve">1.1 Ce que le produit fait</w:t>
      </w:r>
    </w:p>
    <w:p>
      <w:pPr>
        <w:pStyle w:val="ListParagraph"/>
        <w:numPr>
          <w:ilvl w:val="0"/>
          <w:numId w:val="2"/>
        </w:numPr>
        <w:spacing w:after="60"/>
      </w:pPr>
      <w:r>
        <w:rPr>
          <w:rFonts w:ascii="Arial" w:cs="Arial" w:eastAsia="Arial" w:hAnsi="Arial"/>
          <w:color w:val="333333"/>
          <w:sz w:val="20"/>
          <w:szCs w:val="20"/>
        </w:rPr>
        <w:t xml:space="preserve">Transcrire la dictée vocale du praticien en texte brut (STT).</w:t>
      </w:r>
    </w:p>
    <w:p>
      <w:pPr>
        <w:pStyle w:val="ListParagraph"/>
        <w:numPr>
          <w:ilvl w:val="0"/>
          <w:numId w:val="2"/>
        </w:numPr>
        <w:spacing w:after="60"/>
      </w:pPr>
      <w:r>
        <w:rPr>
          <w:rFonts w:ascii="Arial" w:cs="Arial" w:eastAsia="Arial" w:hAnsi="Arial"/>
          <w:color w:val="333333"/>
          <w:sz w:val="20"/>
          <w:szCs w:val="20"/>
        </w:rPr>
        <w:t xml:space="preserve">Appliquer des corrections phonétiques médicales sur le texte brut.</w:t>
      </w:r>
    </w:p>
    <w:p>
      <w:pPr>
        <w:pStyle w:val="ListParagraph"/>
        <w:numPr>
          <w:ilvl w:val="0"/>
          <w:numId w:val="2"/>
        </w:numPr>
        <w:spacing w:after="60"/>
      </w:pPr>
      <w:r>
        <w:rPr>
          <w:rFonts w:ascii="Arial" w:cs="Arial" w:eastAsia="Arial" w:hAnsi="Arial"/>
          <w:color w:val="333333"/>
          <w:sz w:val="20"/>
          <w:szCs w:val="20"/>
        </w:rPr>
        <w:t xml:space="preserve">Structurer le texte en CR anatomopathologique formaté (macroscopie, microscopie, IHC, conclusion).</w:t>
      </w:r>
    </w:p>
    <w:p>
      <w:pPr>
        <w:pStyle w:val="ListParagraph"/>
        <w:numPr>
          <w:ilvl w:val="0"/>
          <w:numId w:val="2"/>
        </w:numPr>
        <w:spacing w:after="60"/>
      </w:pPr>
      <w:r>
        <w:rPr>
          <w:rFonts w:ascii="Arial" w:cs="Arial" w:eastAsia="Arial" w:hAnsi="Arial"/>
          <w:color w:val="333333"/>
          <w:sz w:val="20"/>
          <w:szCs w:val="20"/>
        </w:rPr>
        <w:t xml:space="preserve">Étendre les acronymes et abréviations médicales en formulations complètes.</w:t>
      </w:r>
    </w:p>
    <w:p>
      <w:pPr>
        <w:pStyle w:val="ListParagraph"/>
        <w:numPr>
          <w:ilvl w:val="0"/>
          <w:numId w:val="2"/>
        </w:numPr>
        <w:spacing w:after="60"/>
      </w:pPr>
      <w:r>
        <w:rPr>
          <w:rFonts w:ascii="Arial" w:cs="Arial" w:eastAsia="Arial" w:hAnsi="Arial"/>
          <w:color w:val="333333"/>
          <w:sz w:val="20"/>
          <w:szCs w:val="20"/>
        </w:rPr>
        <w:t xml:space="preserve">Vérifier la complétude du CR (sections manquantes, incohérences).</w:t>
      </w:r>
    </w:p>
    <w:p>
      <w:pPr>
        <w:pStyle w:val="ListParagraph"/>
        <w:numPr>
          <w:ilvl w:val="0"/>
          <w:numId w:val="2"/>
        </w:numPr>
        <w:spacing w:after="60"/>
      </w:pPr>
      <w:r>
        <w:rPr>
          <w:rFonts w:ascii="Arial" w:cs="Arial" w:eastAsia="Arial" w:hAnsi="Arial"/>
          <w:color w:val="333333"/>
          <w:sz w:val="20"/>
          <w:szCs w:val="20"/>
        </w:rPr>
        <w:t xml:space="preserve">Exporter en Word (.docx), copier-coller, et à terme en HL7 FHIR / IHE APSR.</w:t>
      </w:r>
    </w:p>
    <w:p>
      <w:pPr>
        <w:pStyle w:val="Heading2"/>
      </w:pPr>
      <w:r>
        <w:rPr>
          <w:rFonts w:ascii="Arial" w:cs="Arial" w:eastAsia="Arial" w:hAnsi="Arial"/>
          <w:b/>
          <w:bCs/>
          <w:color w:val="2AAA8A"/>
          <w:sz w:val="26"/>
          <w:szCs w:val="26"/>
        </w:rPr>
        <w:t xml:space="preserve">1.2 Ce que le produit ne fait PAS</w:t>
      </w:r>
    </w:p>
    <w:p>
      <w:pPr>
        <w:pStyle w:val="ListParagraph"/>
        <w:numPr>
          <w:ilvl w:val="0"/>
          <w:numId w:val="3"/>
        </w:numPr>
        <w:spacing w:after="60"/>
      </w:pPr>
      <w:r>
        <w:rPr>
          <w:rFonts w:ascii="Arial" w:cs="Arial" w:eastAsia="Arial" w:hAnsi="Arial"/>
          <w:b/>
          <w:bCs/>
          <w:color w:val="333333"/>
          <w:sz w:val="20"/>
          <w:szCs w:val="20"/>
        </w:rPr>
        <w:t xml:space="preserve">PAS de diagnostic.</w:t>
      </w:r>
      <w:r>
        <w:rPr>
          <w:rFonts w:ascii="Arial" w:cs="Arial" w:eastAsia="Arial" w:hAnsi="Arial"/>
          <w:color w:val="333333"/>
          <w:sz w:val="20"/>
          <w:szCs w:val="20"/>
        </w:rPr>
        <w:t xml:space="preserve"> L’IA ne dit jamais « c’est un cancer ». Elle structure ce que le médecin a dicté.</w:t>
      </w:r>
    </w:p>
    <w:p>
      <w:pPr>
        <w:pStyle w:val="ListParagraph"/>
        <w:numPr>
          <w:ilvl w:val="0"/>
          <w:numId w:val="3"/>
        </w:numPr>
        <w:spacing w:after="60"/>
      </w:pPr>
      <w:r>
        <w:rPr>
          <w:rFonts w:ascii="Arial" w:cs="Arial" w:eastAsia="Arial" w:hAnsi="Arial"/>
          <w:b/>
          <w:bCs/>
          <w:color w:val="333333"/>
          <w:sz w:val="20"/>
          <w:szCs w:val="20"/>
        </w:rPr>
        <w:t xml:space="preserve">PAS d’analyse d’images.</w:t>
      </w:r>
      <w:r>
        <w:rPr>
          <w:rFonts w:ascii="Arial" w:cs="Arial" w:eastAsia="Arial" w:hAnsi="Arial"/>
          <w:color w:val="333333"/>
          <w:sz w:val="20"/>
          <w:szCs w:val="20"/>
        </w:rPr>
        <w:t xml:space="preserve"> On ne traite pas les lames de microscope ni les images PACS.</w:t>
      </w:r>
    </w:p>
    <w:p>
      <w:pPr>
        <w:pStyle w:val="ListParagraph"/>
        <w:numPr>
          <w:ilvl w:val="0"/>
          <w:numId w:val="3"/>
        </w:numPr>
        <w:spacing w:after="60"/>
      </w:pPr>
      <w:r>
        <w:rPr>
          <w:rFonts w:ascii="Arial" w:cs="Arial" w:eastAsia="Arial" w:hAnsi="Arial"/>
          <w:b/>
          <w:bCs/>
          <w:color w:val="333333"/>
          <w:sz w:val="20"/>
          <w:szCs w:val="20"/>
        </w:rPr>
        <w:t xml:space="preserve">PAS de renseignements cliniques.</w:t>
      </w:r>
      <w:r>
        <w:rPr>
          <w:rFonts w:ascii="Arial" w:cs="Arial" w:eastAsia="Arial" w:hAnsi="Arial"/>
          <w:color w:val="333333"/>
          <w:sz w:val="20"/>
          <w:szCs w:val="20"/>
        </w:rPr>
        <w:t xml:space="preserve"> On ne gère pas le contexte clinique du patient (antécédents, traitements). On ne reçoit que ce que le praticien dicte.</w:t>
      </w:r>
    </w:p>
    <w:p>
      <w:pPr>
        <w:pStyle w:val="ListParagraph"/>
        <w:numPr>
          <w:ilvl w:val="0"/>
          <w:numId w:val="3"/>
        </w:numPr>
        <w:spacing w:after="60"/>
      </w:pPr>
      <w:r>
        <w:rPr>
          <w:rFonts w:ascii="Arial" w:cs="Arial" w:eastAsia="Arial" w:hAnsi="Arial"/>
          <w:b/>
          <w:bCs/>
          <w:color w:val="333333"/>
          <w:sz w:val="20"/>
          <w:szCs w:val="20"/>
        </w:rPr>
        <w:t xml:space="preserve">PAS de gestion du dossier patient.</w:t>
      </w:r>
      <w:r>
        <w:rPr>
          <w:rFonts w:ascii="Arial" w:cs="Arial" w:eastAsia="Arial" w:hAnsi="Arial"/>
          <w:color w:val="333333"/>
          <w:sz w:val="20"/>
          <w:szCs w:val="20"/>
        </w:rPr>
        <w:t xml:space="preserve"> Le rattachement au dossier patient se fait exclusivement en local dans le logiciel métier du praticien.</w:t>
      </w:r>
    </w:p>
    <w:p>
      <w:r>
        <w:br w:type="page"/>
      </w:r>
    </w:p>
    <w:p>
      <w:pPr>
        <w:pStyle w:val="Heading1"/>
      </w:pPr>
      <w:r>
        <w:rPr>
          <w:rFonts w:ascii="Arial" w:cs="Arial" w:eastAsia="Arial" w:hAnsi="Arial"/>
          <w:b/>
          <w:bCs/>
          <w:color w:val="1B4D6E"/>
          <w:sz w:val="34"/>
          <w:szCs w:val="34"/>
        </w:rPr>
        <w:t xml:space="preserve">2. Architecture technique</w:t>
      </w:r>
    </w:p>
    <w:p>
      <w:pPr>
        <w:pStyle w:val="Heading2"/>
      </w:pPr>
      <w:r>
        <w:rPr>
          <w:rFonts w:ascii="Arial" w:cs="Arial" w:eastAsia="Arial" w:hAnsi="Arial"/>
          <w:b/>
          <w:bCs/>
          <w:color w:val="2AAA8A"/>
          <w:sz w:val="26"/>
          <w:szCs w:val="26"/>
        </w:rPr>
        <w:t xml:space="preserve">2.1 Vue d’ensemble</w:t>
      </w:r>
    </w:p>
    <w:p>
      <w:pPr>
        <w:spacing w:after="100" w:before="0"/>
        <w:jc w:val="both"/>
      </w:pPr>
      <w:r>
        <w:rPr>
          <w:rFonts w:ascii="Arial" w:cs="Arial" w:eastAsia="Arial" w:hAnsi="Arial"/>
          <w:color w:val="333333"/>
          <w:sz w:val="20"/>
          <w:szCs w:val="20"/>
        </w:rPr>
        <w:t xml:space="preserve">Application web SaaS, architecture 3-tiers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Couche</w:t>
            </w:r>
          </w:p>
        </w:tc>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Technologie</w:t>
            </w:r>
          </w:p>
        </w:tc>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Rôle</w:t>
            </w:r>
          </w:p>
        </w:tc>
        <w:tc>
          <w:tcPr>
            <w:tcW w:type="dxa" w:w="2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Déploiement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19 + TypeScript (Vite)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 dictée, affichage CR, export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 / Vercel / Netlify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3.11+ / FastAPI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Orchestration pipeline, auth, BDD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Serveur cloud (Scaleway / OVH / Railway)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(transcription)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Voxtral Mini (Mistral Audio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Convertir audio → texte brut en français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externe (Mistral)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LLM (structuration)</w:t>
            </w:r>
          </w:p>
        </w:tc>
        <w:tc>
          <w:tcPr>
            <w:tcW w:type="dxa" w:w="2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Claude (Anthropic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Structurer et formater le CR à partir du texte brut + règles métier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externe (Anthropic)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 de données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Utilisateurs, historique CRs, règles métier, logs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Même serveur ou managed (Supabase)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2"/>
              <w:left w:val="single" w:color="E65100" w:sz="12"/>
              <w:bottom w:val="single" w:color="E65100" w:sz="2"/>
              <w:right w:val="single" w:color="E65100" w:sz="2"/>
            </w:tcBorders>
            <w:shd w:fill="FFF3E0"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 CHANGEMENT CLÉ : PASSER DE MISTRAL À CLAUDE POUR LE LLM</w:t>
            </w:r>
          </w:p>
          <w:p>
            <w:pPr>
              <w:spacing w:after="40"/>
            </w:pPr>
            <w:r>
              <w:rPr>
                <w:rFonts w:ascii="Arial" w:cs="Arial" w:eastAsia="Arial" w:hAnsi="Arial"/>
                <w:color w:val="333333"/>
                <w:sz w:val="19"/>
                <w:szCs w:val="19"/>
              </w:rPr>
              <w:t xml:space="preserve">La démo actuelle utilise Mistral Large pour la structuration. En production, utiliser Claude (Anthropic) comme LLM principal.</w:t>
            </w:r>
          </w:p>
          <w:p>
            <w:pPr>
              <w:spacing w:after="4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Claude est significativement meilleur en compréhension des instructions complexes, en suivi de règles métier détaillées, et en génération de texte médical structuré. Il respecte mieux les templates et ne « hallucine » pas de données médicales.</w:t>
            </w:r>
          </w:p>
          <w:p>
            <w:pPr>
              <w:spacing w:after="40"/>
            </w:pPr>
            <w:r>
              <w:rPr>
                <w:rFonts w:ascii="Arial" w:cs="Arial" w:eastAsia="Arial" w:hAnsi="Arial"/>
                <w:color w:val="333333"/>
                <w:sz w:val="19"/>
                <w:szCs w:val="19"/>
              </w:rPr>
              <w:t xml:space="preserve">Garder Voxtral Mini pour la transcription (STT) — c’est un bon modèle spécialisé français, compétitif en prix.</w:t>
            </w:r>
          </w:p>
          <w:p>
            <w:pPr>
              <w:spacing w:after="40"/>
            </w:pPr>
            <w:r>
              <w:rPr>
                <w:rFonts w:ascii="Arial" w:cs="Arial" w:eastAsia="Arial" w:hAnsi="Arial"/>
                <w:b/>
                <w:bCs/>
                <w:color w:val="333333"/>
                <w:sz w:val="20"/>
                <w:szCs w:val="20"/>
              </w:rPr>
              <w:t xml:space="preserve">Modèle recommandé : </w:t>
            </w:r>
            <w:r>
              <w:rPr>
                <w:rFonts w:ascii="JetBrains Mono, Consolas, Courier New" w:cs="JetBrains Mono, Consolas, Courier New" w:eastAsia="JetBrains Mono, Consolas, Courier New" w:hAnsi="JetBrains Mono, Consolas, Courier New"/>
                <w:color w:val="D63384"/>
                <w:sz w:val="19"/>
                <w:szCs w:val="19"/>
              </w:rPr>
              <w:t xml:space="preserve">claude-sonnet-4-6</w:t>
            </w:r>
            <w:r>
              <w:rPr>
                <w:rFonts w:ascii="Arial" w:cs="Arial" w:eastAsia="Arial" w:hAnsi="Arial"/>
                <w:color w:val="333333"/>
                <w:sz w:val="20"/>
                <w:szCs w:val="20"/>
              </w:rPr>
              <w:t xml:space="preserve"> (bon ratio qualité/prix) ou </w:t>
            </w:r>
            <w:r>
              <w:rPr>
                <w:rFonts w:ascii="JetBrains Mono, Consolas, Courier New" w:cs="JetBrains Mono, Consolas, Courier New" w:eastAsia="JetBrains Mono, Consolas, Courier New" w:hAnsi="JetBrains Mono, Consolas, Courier New"/>
                <w:color w:val="D63384"/>
                <w:sz w:val="19"/>
                <w:szCs w:val="19"/>
              </w:rPr>
              <w:t xml:space="preserve">claude-opus-4-6</w:t>
            </w:r>
            <w:r>
              <w:rPr>
                <w:rFonts w:ascii="Arial" w:cs="Arial" w:eastAsia="Arial" w:hAnsi="Arial"/>
                <w:color w:val="333333"/>
                <w:sz w:val="20"/>
                <w:szCs w:val="20"/>
              </w:rPr>
              <w:t xml:space="preserve"> (maximum de qualité pour les cas complexes).</w:t>
            </w:r>
          </w:p>
          <w:p>
            <w:pPr>
              <w:spacing w:after="40"/>
            </w:pPr>
            <w:r>
              <w:rPr>
                <w:rFonts w:ascii="Arial" w:cs="Arial" w:eastAsia="Arial" w:hAnsi="Arial"/>
                <w:b/>
                <w:bCs/>
                <w:color w:val="333333"/>
                <w:sz w:val="20"/>
                <w:szCs w:val="20"/>
              </w:rPr>
              <w:t xml:space="preserve">API : </w:t>
            </w:r>
            <w:r>
              <w:rPr>
                <w:rFonts w:ascii="Arial" w:cs="Arial" w:eastAsia="Arial" w:hAnsi="Arial"/>
                <w:color w:val="333333"/>
                <w:sz w:val="20"/>
                <w:szCs w:val="20"/>
              </w:rPr>
              <w:t xml:space="preserve">https://docs.anthropic.com/en/api — SDK Python : </w:t>
            </w:r>
            <w:r>
              <w:rPr>
                <w:rFonts w:ascii="JetBrains Mono, Consolas, Courier New" w:cs="JetBrains Mono, Consolas, Courier New" w:eastAsia="JetBrains Mono, Consolas, Courier New" w:hAnsi="JetBrains Mono, Consolas, Courier New"/>
                <w:color w:val="D63384"/>
                <w:sz w:val="19"/>
                <w:szCs w:val="19"/>
              </w:rPr>
              <w:t xml:space="preserve">pip install anthropic</w:t>
            </w:r>
          </w:p>
        </w:tc>
      </w:tr>
    </w:tbl>
    <w:p>
      <w:pPr>
        <w:pStyle w:val="Heading2"/>
      </w:pPr>
      <w:r>
        <w:rPr>
          <w:rFonts w:ascii="Arial" w:cs="Arial" w:eastAsia="Arial" w:hAnsi="Arial"/>
          <w:b/>
          <w:bCs/>
          <w:color w:val="2AAA8A"/>
          <w:sz w:val="26"/>
          <w:szCs w:val="26"/>
        </w:rPr>
        <w:t xml:space="preserve">2.2 Pipeline de traitement d’un CR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500"/>
        <w:gridCol w:w="2026"/>
      </w:tblGrid>
      <w:tr>
        <w:tc>
          <w:tcPr>
            <w:tcW w:type="dxa" w:w="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Étape</w:t>
            </w:r>
          </w:p>
        </w:tc>
        <w:tc>
          <w:tcPr>
            <w:tcW w:type="dxa" w:w="3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Détail technique</w:t>
            </w:r>
          </w:p>
        </w:tc>
        <w:tc>
          <w:tcPr>
            <w:tcW w:type="dxa" w:w="1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Donnée patient ?</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Latence estimée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Capture 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MediaRecorder API (WebM/opus). Push-to-talk (barre espace) ou bouton.</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Sanitization 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NOUVEAU : filtre côté backend qui détecte (via regex + NER) tout nom propre, date de naissance, n° dossier dans le texte transcrit et les supprime AVANT envoi au LLM.</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 (supprimé)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(Voxtral)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audio vers Mistral Audio API. Modèle : voxtral-mini. Langue : fr. Retour : texte brut.</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LLM (Claude)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Envoi du texte brut + system prompt (règles métier + few-shot) à Claude. Température : 0.1. Retour : CR structuré en markdown.</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3–8s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Vérification complétude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NOUVEAU : vérifier que le CR contient toutes les sections obligatoires. Si section manquante → warning affiché à l’utilisateur.</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Affichage +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Rendu markdown dans le navigateur. Export : .docx (python-docx), copier-coller, à terme FHIR/APSR.</w:t>
            </w:r>
          </w:p>
        </w:tc>
        <w:tc>
          <w:tcPr>
            <w:tcW w:type="dxa" w:w="1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~300ms</w:t>
            </w:r>
          </w:p>
        </w:tc>
      </w:tr>
    </w:tbl>
    <w:p>
      <w:pPr>
        <w:spacing w:after="0" w:before="60"/>
      </w:pPr>
    </w:p>
    <w:p>
      <w:pPr>
        <w:spacing w:after="100" w:before="0"/>
        <w:jc w:val="both"/>
      </w:pPr>
      <w:r>
        <w:rPr>
          <w:rFonts w:ascii="Arial" w:cs="Arial" w:eastAsia="Arial" w:hAnsi="Arial"/>
          <w:b/>
          <w:bCs/>
          <w:color w:val="2AAA8A"/>
          <w:sz w:val="20"/>
          <w:szCs w:val="20"/>
        </w:rPr>
        <w:t xml:space="preserve">Règle absolue : </w:t>
      </w:r>
      <w:r>
        <w:rPr>
          <w:rFonts w:ascii="Arial" w:cs="Arial" w:eastAsia="Arial" w:hAnsi="Arial"/>
          <w:color w:val="333333"/>
          <w:sz w:val="20"/>
          <w:szCs w:val="20"/>
        </w:rPr>
        <w:t xml:space="preserve">aucune donnée de santé à caractère personnel ne transite JAMAIS par notre infrastructure. Le rattachement patient = local uniquement.</w:t>
      </w:r>
    </w:p>
    <w:p>
      <w:pPr>
        <w:pStyle w:val="Heading2"/>
      </w:pPr>
      <w:r>
        <w:rPr>
          <w:rFonts w:ascii="Arial" w:cs="Arial" w:eastAsia="Arial" w:hAnsi="Arial"/>
          <w:b/>
          <w:bCs/>
          <w:color w:val="2AAA8A"/>
          <w:sz w:val="26"/>
          <w:szCs w:val="26"/>
        </w:rPr>
        <w:t xml:space="preserve">2.3 Schéma de base de données (PostgreSQL)</w:t>
      </w:r>
    </w:p>
    <w:p>
      <w:pPr>
        <w:spacing w:after="100" w:before="0"/>
        <w:jc w:val="both"/>
      </w:pPr>
      <w:r>
        <w:rPr>
          <w:rFonts w:ascii="Arial" w:cs="Arial" w:eastAsia="Arial" w:hAnsi="Arial"/>
          <w:color w:val="333333"/>
          <w:sz w:val="20"/>
          <w:szCs w:val="20"/>
        </w:rPr>
        <w:t xml:space="preserve">Le POC n’a pas de BDD. En production, il faut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Table</w:t>
            </w:r>
          </w:p>
        </w:tc>
        <w:tc>
          <w:tcPr>
            <w:tcW w:type="dxa" w:w="4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Colonnes principales</w:t>
            </w:r>
          </w:p>
        </w:tc>
        <w:tc>
          <w:tcPr>
            <w:tcW w:type="dxa" w:w="3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email, password_hash, name, role (admin/user), organization_id, created_at, last_login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 via JWT. Pas de données patient ici.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organizations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name, type (liberal/clinique/labo), subscription_plan, stripe_customer_id, created_at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Chaque orga = 1 abonnement.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reports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org_id, raw_transcription, structured_report, status (draft/validated), completeness_warnings, created_at, updated_at</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Pas de nom patient, pas d’identifiant patient. Uniquement le contenu médical anonyme.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report_exports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report_id, format (docx/fhir/apsr), exported_at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Traçabilité des exports.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business_rules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org_id, rule_type (phonetic/acronym/template/negation), key, value, active, created_by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Permet aux labos de personnaliser leurs règles.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audit_log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action, details, ip, created_at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Traçabilité ISO 15189.</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2"/>
              <w:left w:val="single" w:color="E65100" w:sz="12"/>
              <w:bottom w:val="single" w:color="E65100" w:sz="2"/>
              <w:right w:val="single" w:color="E65100" w:sz="2"/>
            </w:tcBorders>
            <w:shd w:fill="FFF3E0"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 ZÉRO DONNÉE PATIENT DANS LA BDD</w:t>
            </w:r>
          </w:p>
          <w:p>
            <w:pPr>
              <w:spacing w:after="40"/>
            </w:pPr>
            <w:r>
              <w:rPr>
                <w:rFonts w:ascii="Arial" w:cs="Arial" w:eastAsia="Arial" w:hAnsi="Arial"/>
                <w:color w:val="333333"/>
                <w:sz w:val="19"/>
                <w:szCs w:val="19"/>
              </w:rPr>
              <w:t xml:space="preserve">La table reports ne contient JAMAIS de nom de patient, date de naissance, n° de sécurité sociale, ou identifiant dossier.</w:t>
            </w:r>
          </w:p>
          <w:p>
            <w:pPr>
              <w:spacing w:after="40"/>
            </w:pPr>
            <w:r>
              <w:rPr>
                <w:rFonts w:ascii="Arial" w:cs="Arial" w:eastAsia="Arial" w:hAnsi="Arial"/>
                <w:color w:val="333333"/>
                <w:sz w:val="19"/>
                <w:szCs w:val="19"/>
              </w:rPr>
              <w:t xml:space="preserve">Seul le contenu médical anonyme (la description anatomopathologique) est stocké.</w:t>
            </w:r>
          </w:p>
          <w:p>
            <w:pPr>
              <w:spacing w:after="40"/>
            </w:pPr>
            <w:r>
              <w:rPr>
                <w:rFonts w:ascii="Arial" w:cs="Arial" w:eastAsia="Arial" w:hAnsi="Arial"/>
                <w:color w:val="333333"/>
                <w:sz w:val="19"/>
                <w:szCs w:val="19"/>
              </w:rPr>
              <w:t xml:space="preserve">Le rattachement au dossier patient se fait exclusivement dans le logiciel métier du praticien, en local.</w:t>
            </w:r>
          </w:p>
          <w:p>
            <w:pPr>
              <w:spacing w:after="40"/>
            </w:pPr>
            <w:r>
              <w:rPr>
                <w:rFonts w:ascii="Arial" w:cs="Arial" w:eastAsia="Arial" w:hAnsi="Arial"/>
                <w:b/>
                <w:bCs/>
                <w:color w:val="333333"/>
                <w:sz w:val="20"/>
                <w:szCs w:val="20"/>
              </w:rPr>
              <w:t xml:space="preserve">Cela nous exempte du HDS (Hébergement de Données de Santé).</w:t>
            </w:r>
            <w:r>
              <w:rPr>
                <w:rFonts w:ascii="Arial" w:cs="Arial" w:eastAsia="Arial" w:hAnsi="Arial"/>
                <w:color w:val="333333"/>
                <w:sz w:val="20"/>
                <w:szCs w:val="20"/>
              </w:rPr>
              <w:t xml:space="preserve"> On peut héberger sur n’importe quel cloud standard.</w:t>
            </w:r>
          </w:p>
        </w:tc>
      </w:tr>
    </w:tbl>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Référentiel HDS — ANS — https://esante.gouv.fr/produits-services/hebergement-de-donnees-de-sante</w:t>
      </w:r>
    </w:p>
    <w:p>
      <w:r>
        <w:br w:type="page"/>
      </w:r>
    </w:p>
    <w:p>
      <w:pPr>
        <w:pStyle w:val="Heading1"/>
      </w:pPr>
      <w:r>
        <w:rPr>
          <w:rFonts w:ascii="Arial" w:cs="Arial" w:eastAsia="Arial" w:hAnsi="Arial"/>
          <w:b/>
          <w:bCs/>
          <w:color w:val="1B4D6E"/>
          <w:sz w:val="34"/>
          <w:szCs w:val="34"/>
        </w:rPr>
        <w:t xml:space="preserve">3. Fonctionnalités à développer</w:t>
      </w:r>
    </w:p>
    <w:p>
      <w:pPr>
        <w:spacing w:after="100" w:before="0"/>
        <w:jc w:val="both"/>
      </w:pPr>
      <w:r>
        <w:rPr>
          <w:rFonts w:ascii="Arial" w:cs="Arial" w:eastAsia="Arial" w:hAnsi="Arial"/>
          <w:color w:val="333333"/>
          <w:sz w:val="20"/>
          <w:szCs w:val="20"/>
        </w:rPr>
        <w:t xml:space="preserve">Liste exhautive de ce qui doit être développé, classé par priorité :</w:t>
      </w:r>
    </w:p>
    <w:p>
      <w:pPr>
        <w:pStyle w:val="Heading2"/>
      </w:pPr>
      <w:r>
        <w:rPr>
          <w:rFonts w:ascii="Arial" w:cs="Arial" w:eastAsia="Arial" w:hAnsi="Arial"/>
          <w:b/>
          <w:bCs/>
          <w:color w:val="2AAA8A"/>
          <w:sz w:val="26"/>
          <w:szCs w:val="26"/>
        </w:rPr>
        <w:t xml:space="preserve">3.1 Priorité 1 — MVP (avant commercialisation)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Fonctionnalité</w:t>
            </w:r>
          </w:p>
        </w:tc>
        <w:tc>
          <w:tcPr>
            <w:tcW w:type="dxa" w:w="4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Spécification</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Statut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Authentification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Inscription par email + mot de passe. Login JWT. Reset password par email. Pas d’OAuth pour le moment (overkill).</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Dictée vocale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Push-to-talk (barre espace ou bouton). MediaRecorder API. Format WebM/opus. Feedback visuel (barre de niveau audio).</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Transcription STT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Voxtral Mini via Mistral Audio API. Langue : fr. Timeout : 30s. Retry x2 si échec.</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Sanitization auto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Après STT, avant LLM : détection par regex + NER (spaCy fr_core_news_sm) des noms propres, dates de naissance (JJ/MM/AAAA, né(e) le...), n° dossier. Suppression automatique + log d’alerte.</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Génération CR (Claude)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Envoi texte brut + system prompt (règles métier globales + few-shot) à Claude. Température 0.1. Max tokens : 4096. Retour : markdown structuré.</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Adapter (Mistral → 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Vérification complétude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Vérifier présence des sections obligatoires : titre, macroscopie (si biopsie/pièce op), microscopie/histologie, conclusion. Vérifier cohérence nb sites dictés vs nb conclusions. Afficher warnings en jaune.</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Historique des CRs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 des CRs générés par l’utilisateur, triés par date. Recherche par mot-clé. Clic → réouvrir, modifier, re-exporter. Pagination.</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Word (.docx)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Conversion markdown → .docx avec formatage complet : titres gras/souligné/MAJUSCULES, sections, tableau IHC 3 colonnes, conclusion gras. Utiliser python-docx.</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 (améliorer)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Copier-coller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Bouton copier le CR formaté dans le presse-papier (texte riche si possible, sinon plain text).</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Interface split-view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Vue gauche : transcription brute (éditable). Vue droite : CR généré (prévisualisation + édition). Les deux modifiables.</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partielle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Gestion abonnement (Stripe)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Intégration Stripe Checkout. Plans : Solo (69€/mois, 200 CR), Clinique (129€/mois, illimité), Labo (99€/user/mois). Webhooks pour activer/désactiver. Page de gestion abonnement.</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Onboarding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Premier lancement : tutoriel interactif (3 étapes : dicter, relire, exporter). Vidéo démo intégrée.</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bl>
    <w:p>
      <w:pPr>
        <w:spacing w:after="0" w:before="80"/>
      </w:pPr>
    </w:p>
    <w:p>
      <w:pPr>
        <w:pStyle w:val="Heading2"/>
      </w:pPr>
      <w:r>
        <w:rPr>
          <w:rFonts w:ascii="Arial" w:cs="Arial" w:eastAsia="Arial" w:hAnsi="Arial"/>
          <w:b/>
          <w:bCs/>
          <w:color w:val="2AAA8A"/>
          <w:sz w:val="26"/>
          <w:szCs w:val="26"/>
        </w:rPr>
        <w:t xml:space="preserve">3.2 Priorité 2 — V2 (après premiers clients)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Fonctionnalité</w:t>
            </w:r>
          </w:p>
        </w:tc>
        <w:tc>
          <w:tcPr>
            <w:tcW w:type="dxa" w:w="4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Spécification</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Suggestion code ADICAP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Après génération du CR, proposer automatiquement le code ADICAP 8 caractères : 1 car. mode de prélèvement + 1 car. technique + 2 car. organe + 4 car. lésion. Afficher en bas du CR. Le praticien valide ou corrige. Source : table de codage ADICAP.</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Différenciateur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HL7 FHIR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Générer un DiagnosticReport FHIR R4 JSON. Inclure : Specimen, Observation (pour chaque finding), Conclusion. Utiliser les terminologies SNOMED CT pour les findings.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international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IHE APSR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Générer un document CDA R2 conforme au profil IHE APSR 2.0. Template ID : 1.3.6.1.4.1.19376.1.8.1.1.1. Sections codées SNOMED CT.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anapath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 d’activité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Stats par utilisateur et par organisation : nb CRs/mois, temps moyen de génération, répartition par organe, taux de correction. Graphiques recharts.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Argument labo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Multi-utilisateurs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Gestion des utilisateurs par organisation. Rôles : admin (gère les users + voit le dashboard) et user (utilise l’outil). Invitation par email.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Indispensable labos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Règles métier personnalisables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Interface admin pour ajouter/modifier les corrections phonétiques, acronymes, templates spécifiques au labo. Stockées en BDD par organisation.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Personnalisation par labo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Mode sombre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light/dark. Les anapaths travaillent souvent dans des pièces sombres (microscope). Un mode sombre évite la fatigue oculaire.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UX médical</w:t>
            </w:r>
          </w:p>
        </w:tc>
      </w:tr>
    </w:tbl>
    <w:p>
      <w:pPr>
        <w:spacing w:after="0" w:before="80"/>
      </w:pPr>
    </w:p>
    <w:p>
      <w:pPr>
        <w:pStyle w:val="Heading2"/>
      </w:pPr>
      <w:r>
        <w:rPr>
          <w:rFonts w:ascii="Arial" w:cs="Arial" w:eastAsia="Arial" w:hAnsi="Arial"/>
          <w:b/>
          <w:bCs/>
          <w:color w:val="2AAA8A"/>
          <w:sz w:val="26"/>
          <w:szCs w:val="26"/>
        </w:rPr>
        <w:t xml:space="preserve">3.3 Priorité 3 — V3 (expansion)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Fonctionnalité</w:t>
            </w:r>
          </w:p>
        </w:tc>
        <w:tc>
          <w:tcPr>
            <w:tcW w:type="dxa" w:w="4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Spécification</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Intégration LIS/SIH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Connecteurs API vers : DIAMIC, Glims, Bi-Expert, Aristotle, Sectra. Export HL7 v2 / FHIR vers le SIH. Import des infos de prélèvement depuis le LIS.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labos/hôpitaux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Codage SNOMED 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Mapping automatique des diagnostics vers SNOMED CT. Utiliser la hiérarchie Body Structure + Clinical Finding. Export structuré.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international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Codage ICD-O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 les cas oncologiques : générer le code ICD-O (topographie + morphologie + comportement). Utile pour les registres du cancer.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Registres cancer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Module radiologie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Adapter la pipeline pour les CR de radiologie : nouveau dictionnaire phonétique, nouveaux templates (scanner, IRM, écho, mammo), nouvelles règles métier (BIRADS, TIRADS, etc.).</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Marché x5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publique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REST documentée (OpenAPI/Swagger) pour permettre aux éditeurs de logiciels métier d’intégrer Anapath AI dans leurs outils.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Partenariats</w:t>
            </w:r>
          </w:p>
        </w:tc>
      </w:tr>
    </w:tbl>
    <w:p>
      <w:r>
        <w:br w:type="page"/>
      </w:r>
    </w:p>
    <w:p>
      <w:pPr>
        <w:pStyle w:val="Heading1"/>
      </w:pPr>
      <w:r>
        <w:rPr>
          <w:rFonts w:ascii="Arial" w:cs="Arial" w:eastAsia="Arial" w:hAnsi="Arial"/>
          <w:b/>
          <w:bCs/>
          <w:color w:val="1B4D6E"/>
          <w:sz w:val="34"/>
          <w:szCs w:val="34"/>
        </w:rPr>
        <w:t xml:space="preserve">4. Règles métier : le cœur du produit</w:t>
      </w:r>
    </w:p>
    <w:p>
      <w:pPr>
        <w:spacing w:after="100" w:before="0"/>
        <w:jc w:val="both"/>
      </w:pPr>
      <w:r>
        <w:rPr>
          <w:rFonts w:ascii="Arial" w:cs="Arial" w:eastAsia="Arial" w:hAnsi="Arial"/>
          <w:color w:val="333333"/>
          <w:sz w:val="20"/>
          <w:szCs w:val="20"/>
        </w:rPr>
        <w:t xml:space="preserve">Les règles métier sont </w:t>
      </w:r>
      <w:r>
        <w:rPr>
          <w:rFonts w:ascii="Arial" w:cs="Arial" w:eastAsia="Arial" w:hAnsi="Arial"/>
          <w:b/>
          <w:bCs/>
          <w:color w:val="333333"/>
          <w:sz w:val="20"/>
          <w:szCs w:val="20"/>
        </w:rPr>
        <w:t xml:space="preserve">globales</w:t>
      </w:r>
      <w:r>
        <w:rPr>
          <w:rFonts w:ascii="Arial" w:cs="Arial" w:eastAsia="Arial" w:hAnsi="Arial"/>
          <w:color w:val="333333"/>
          <w:sz w:val="20"/>
          <w:szCs w:val="20"/>
        </w:rPr>
        <w:t xml:space="preserve"> (pas organe par organe). Elles sont documentées dans </w:t>
      </w:r>
      <w:r>
        <w:rPr>
          <w:rFonts w:ascii="JetBrains Mono, Consolas, Courier New" w:cs="JetBrains Mono, Consolas, Courier New" w:eastAsia="JetBrains Mono, Consolas, Courier New" w:hAnsi="JetBrains Mono, Consolas, Courier New"/>
          <w:color w:val="D63384"/>
          <w:sz w:val="19"/>
          <w:szCs w:val="19"/>
        </w:rPr>
        <w:t xml:space="preserve">regles_metier_anapath.md</w:t>
      </w:r>
      <w:r>
        <w:rPr>
          <w:rFonts w:ascii="Arial" w:cs="Arial" w:eastAsia="Arial" w:hAnsi="Arial"/>
          <w:color w:val="333333"/>
          <w:sz w:val="20"/>
          <w:szCs w:val="20"/>
        </w:rPr>
        <w:t xml:space="preserve"> et doivent être intégrées au system prompt envoyé à Claude.</w:t>
      </w:r>
    </w:p>
    <w:p>
      <w:pPr>
        <w:pStyle w:val="Heading2"/>
      </w:pPr>
      <w:r>
        <w:rPr>
          <w:rFonts w:ascii="Arial" w:cs="Arial" w:eastAsia="Arial" w:hAnsi="Arial"/>
          <w:b/>
          <w:bCs/>
          <w:color w:val="2AAA8A"/>
          <w:sz w:val="26"/>
          <w:szCs w:val="26"/>
        </w:rPr>
        <w:t xml:space="preserve">4.1 Ordre de traitement (pipeline LLM)</w:t>
      </w:r>
    </w:p>
    <w:p>
      <w:pPr>
        <w:spacing w:after="100" w:before="0"/>
        <w:jc w:val="both"/>
      </w:pPr>
      <w:r>
        <w:rPr>
          <w:rFonts w:ascii="Arial" w:cs="Arial" w:eastAsia="Arial" w:hAnsi="Arial"/>
          <w:b/>
          <w:bCs/>
          <w:color w:val="333333"/>
          <w:sz w:val="20"/>
          <w:szCs w:val="20"/>
        </w:rPr>
        <w:t xml:space="preserve">Le LLM doit appliquer les règles dans cet ordre strict :</w:t>
      </w:r>
    </w:p>
    <w:p>
      <w:pPr>
        <w:pStyle w:val="ListParagraph"/>
        <w:numPr>
          <w:ilvl w:val="0"/>
          <w:numId w:val="2"/>
        </w:numPr>
        <w:spacing w:after="60"/>
      </w:pPr>
      <w:r>
        <w:rPr>
          <w:rFonts w:ascii="Arial" w:cs="Arial" w:eastAsia="Arial" w:hAnsi="Arial"/>
          <w:b/>
          <w:bCs/>
          <w:color w:val="333333"/>
          <w:sz w:val="20"/>
          <w:szCs w:val="20"/>
        </w:rPr>
        <w:t xml:space="preserve">Corrections phonétiques</w:t>
      </w:r>
      <w:r>
        <w:rPr>
          <w:rFonts w:ascii="Arial" w:cs="Arial" w:eastAsia="Arial" w:hAnsi="Arial"/>
          <w:color w:val="333333"/>
          <w:sz w:val="20"/>
          <w:szCs w:val="20"/>
        </w:rPr>
        <w:t xml:space="preserve"> — à appliquer EN PREMIER, avant toute interprétation (ex: branchique → bronchique, DTF1 → TTF1, trauma → stroma).</w:t>
      </w:r>
    </w:p>
    <w:p>
      <w:pPr>
        <w:pStyle w:val="ListParagraph"/>
        <w:numPr>
          <w:ilvl w:val="0"/>
          <w:numId w:val="2"/>
        </w:numPr>
        <w:spacing w:after="60"/>
      </w:pPr>
      <w:r>
        <w:rPr>
          <w:rFonts w:ascii="Arial" w:cs="Arial" w:eastAsia="Arial" w:hAnsi="Arial"/>
          <w:b/>
          <w:bCs/>
          <w:color w:val="333333"/>
          <w:sz w:val="20"/>
          <w:szCs w:val="20"/>
        </w:rPr>
        <w:t xml:space="preserve">Identification du type de prélèvement</w:t>
      </w:r>
      <w:r>
        <w:rPr>
          <w:rFonts w:ascii="Arial" w:cs="Arial" w:eastAsia="Arial" w:hAnsi="Arial"/>
          <w:color w:val="333333"/>
          <w:sz w:val="20"/>
          <w:szCs w:val="20"/>
        </w:rPr>
        <w:t xml:space="preserve"> — biopsie simple, biopsies multiples, pièce opératoire, cytologie LBA, etc.</w:t>
      </w:r>
    </w:p>
    <w:p>
      <w:pPr>
        <w:pStyle w:val="ListParagraph"/>
        <w:numPr>
          <w:ilvl w:val="0"/>
          <w:numId w:val="2"/>
        </w:numPr>
        <w:spacing w:after="60"/>
      </w:pPr>
      <w:r>
        <w:rPr>
          <w:rFonts w:ascii="Arial" w:cs="Arial" w:eastAsia="Arial" w:hAnsi="Arial"/>
          <w:b/>
          <w:bCs/>
          <w:color w:val="333333"/>
          <w:sz w:val="20"/>
          <w:szCs w:val="20"/>
        </w:rPr>
        <w:t xml:space="preserve">Expansion des acronymes</w:t>
      </w:r>
      <w:r>
        <w:rPr>
          <w:rFonts w:ascii="Arial" w:cs="Arial" w:eastAsia="Arial" w:hAnsi="Arial"/>
          <w:color w:val="333333"/>
          <w:sz w:val="20"/>
          <w:szCs w:val="20"/>
        </w:rPr>
        <w:t xml:space="preserve"> — AIN3 → « néoplasie malpighienne intraépithéliale de haut grade », ADK → « adénocarcinome », etc.</w:t>
      </w:r>
    </w:p>
    <w:p>
      <w:pPr>
        <w:pStyle w:val="ListParagraph"/>
        <w:numPr>
          <w:ilvl w:val="0"/>
          <w:numId w:val="2"/>
        </w:numPr>
        <w:spacing w:after="60"/>
      </w:pPr>
      <w:r>
        <w:rPr>
          <w:rFonts w:ascii="Arial" w:cs="Arial" w:eastAsia="Arial" w:hAnsi="Arial"/>
          <w:b/>
          <w:bCs/>
          <w:color w:val="333333"/>
          <w:sz w:val="20"/>
          <w:szCs w:val="20"/>
        </w:rPr>
        <w:t xml:space="preserve">Génération du tableau IHC</w:t>
      </w:r>
      <w:r>
        <w:rPr>
          <w:rFonts w:ascii="Arial" w:cs="Arial" w:eastAsia="Arial" w:hAnsi="Arial"/>
          <w:color w:val="333333"/>
          <w:sz w:val="20"/>
          <w:szCs w:val="20"/>
        </w:rPr>
        <w:t xml:space="preserve"> — si 2+ marqueurs immunohistochimiques détectés, générer un tableau 3 colonnes (Anticorps | Résultat | Témoin).</w:t>
      </w:r>
    </w:p>
    <w:p>
      <w:pPr>
        <w:pStyle w:val="ListParagraph"/>
        <w:numPr>
          <w:ilvl w:val="0"/>
          <w:numId w:val="2"/>
        </w:numPr>
        <w:spacing w:after="60"/>
      </w:pPr>
      <w:r>
        <w:rPr>
          <w:rFonts w:ascii="Arial" w:cs="Arial" w:eastAsia="Arial" w:hAnsi="Arial"/>
          <w:b/>
          <w:bCs/>
          <w:color w:val="333333"/>
          <w:sz w:val="20"/>
          <w:szCs w:val="20"/>
        </w:rPr>
        <w:t xml:space="preserve">Rédaction de la conclusion</w:t>
      </w:r>
      <w:r>
        <w:rPr>
          <w:rFonts w:ascii="Arial" w:cs="Arial" w:eastAsia="Arial" w:hAnsi="Arial"/>
          <w:color w:val="333333"/>
          <w:sz w:val="20"/>
          <w:szCs w:val="20"/>
        </w:rPr>
        <w:t xml:space="preserve"> — en termes nosologiques complets + phénotype IHC si mentionné.</w:t>
      </w:r>
    </w:p>
    <w:p>
      <w:pPr>
        <w:pStyle w:val="ListParagraph"/>
        <w:numPr>
          <w:ilvl w:val="0"/>
          <w:numId w:val="2"/>
        </w:numPr>
        <w:spacing w:after="60"/>
      </w:pPr>
      <w:r>
        <w:rPr>
          <w:rFonts w:ascii="Arial" w:cs="Arial" w:eastAsia="Arial" w:hAnsi="Arial"/>
          <w:b/>
          <w:bCs/>
          <w:color w:val="333333"/>
          <w:sz w:val="20"/>
          <w:szCs w:val="20"/>
        </w:rPr>
        <w:t xml:space="preserve">Vérification des négations médicales</w:t>
      </w:r>
      <w:r>
        <w:rPr>
          <w:rFonts w:ascii="Arial" w:cs="Arial" w:eastAsia="Arial" w:hAnsi="Arial"/>
          <w:color w:val="333333"/>
          <w:sz w:val="20"/>
          <w:szCs w:val="20"/>
        </w:rPr>
        <w:t xml:space="preserve"> — JAMAIS inverser une négation (« pas de cellule normale » = « absence de cellule anormale »).</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2"/>
              <w:left w:val="single" w:color="E65100" w:sz="12"/>
              <w:bottom w:val="single" w:color="E65100" w:sz="2"/>
              <w:right w:val="single" w:color="E65100" w:sz="2"/>
            </w:tcBorders>
            <w:shd w:fill="FFF3E0"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 RÈGLE CRITIQUE : FIDELITY ABSOLUTE</w:t>
            </w:r>
          </w:p>
          <w:p>
            <w:pPr>
              <w:spacing w:after="40"/>
            </w:pPr>
            <w:r>
              <w:rPr>
                <w:rFonts w:ascii="Arial" w:cs="Arial" w:eastAsia="Arial" w:hAnsi="Arial"/>
                <w:color w:val="333333"/>
                <w:sz w:val="19"/>
                <w:szCs w:val="19"/>
              </w:rPr>
              <w:t xml:space="preserve">L’IA ne doit JAMAIS inventer de données médicales non présentes dans la dictée.</w:t>
            </w:r>
          </w:p>
          <w:p>
            <w:pPr>
              <w:spacing w:after="40"/>
            </w:pPr>
            <w:r>
              <w:rPr>
                <w:rFonts w:ascii="Arial" w:cs="Arial" w:eastAsia="Arial" w:hAnsi="Arial"/>
                <w:color w:val="333333"/>
                <w:sz w:val="19"/>
                <w:szCs w:val="19"/>
              </w:rPr>
              <w:t xml:space="preserve">Si le praticien n’a pas dicté de macroscopie, ne PAS en inventer. Signaler l’absence dans les warnings de complétude.</w:t>
            </w:r>
          </w:p>
          <w:p>
            <w:pPr>
              <w:spacing w:after="40"/>
            </w:pPr>
            <w:r>
              <w:rPr>
                <w:rFonts w:ascii="Arial" w:cs="Arial" w:eastAsia="Arial" w:hAnsi="Arial"/>
                <w:color w:val="333333"/>
                <w:sz w:val="19"/>
                <w:szCs w:val="19"/>
              </w:rPr>
              <w:t xml:space="preserve">Si un terme est ambigu, utiliser le contexte anatomique pour trancher (ex: « bronchique » vs « branchique » en contexte pulmonaire → toujours bronchique).</w:t>
            </w:r>
          </w:p>
          <w:p>
            <w:pPr>
              <w:spacing w:after="40"/>
            </w:pPr>
            <w:r>
              <w:rPr>
                <w:rFonts w:ascii="Arial" w:cs="Arial" w:eastAsia="Arial" w:hAnsi="Arial"/>
                <w:b/>
                <w:bCs/>
                <w:color w:val="333333"/>
                <w:sz w:val="20"/>
                <w:szCs w:val="20"/>
              </w:rPr>
              <w:t xml:space="preserve">Température LLM : 0.1</w:t>
            </w:r>
            <w:r>
              <w:rPr>
                <w:rFonts w:ascii="Arial" w:cs="Arial" w:eastAsia="Arial" w:hAnsi="Arial"/>
                <w:color w:val="333333"/>
                <w:sz w:val="20"/>
                <w:szCs w:val="20"/>
              </w:rPr>
              <w:t xml:space="preserve"> — minimise la génération créative. On veut de la précision, pas de la créativité.</w:t>
            </w:r>
          </w:p>
        </w:tc>
      </w:tr>
    </w:tbl>
    <w:p>
      <w:pPr>
        <w:pStyle w:val="Heading2"/>
      </w:pPr>
      <w:r>
        <w:rPr>
          <w:rFonts w:ascii="Arial" w:cs="Arial" w:eastAsia="Arial" w:hAnsi="Arial"/>
          <w:b/>
          <w:bCs/>
          <w:color w:val="2AAA8A"/>
          <w:sz w:val="26"/>
          <w:szCs w:val="26"/>
        </w:rPr>
        <w:t xml:space="preserve">4.2 Formatage Word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Élément du CR</w:t>
            </w:r>
          </w:p>
        </w:tc>
        <w:tc>
          <w:tcPr>
            <w:tcW w:type="dxa" w:w="5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Format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Titre (type de prélèvement)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GRAS + SOULIGNÉ + MAJUSCULES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Sous-titres numérotés (sites multiples)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Gras + Souligné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Labels de section (Macroscopie, Microscopie...)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Contenu descriptif</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 (non gras)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CONCLUSION (label)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GRAS + SOULIGNÉ + MAJUSCULES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Texte des conclusions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Renseignements cliniques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Italique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Note introductive IHC</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Italique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Tableau IHC</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colonnes : Anticorps | Résultats | Témoin+</w:t>
            </w:r>
          </w:p>
        </w:tc>
      </w:tr>
    </w:tbl>
    <w:p>
      <w:pPr>
        <w:pStyle w:val="Heading2"/>
      </w:pPr>
      <w:r>
        <w:rPr>
          <w:rFonts w:ascii="Arial" w:cs="Arial" w:eastAsia="Arial" w:hAnsi="Arial"/>
          <w:b/>
          <w:bCs/>
          <w:color w:val="2AAA8A"/>
          <w:sz w:val="26"/>
          <w:szCs w:val="26"/>
        </w:rPr>
        <w:t xml:space="preserve">4.3 Vérification de complétude (killer feature)</w:t>
      </w:r>
    </w:p>
    <w:p>
      <w:pPr>
        <w:spacing w:after="100" w:before="0"/>
        <w:jc w:val="both"/>
      </w:pPr>
      <w:r>
        <w:rPr>
          <w:rFonts w:ascii="Arial" w:cs="Arial" w:eastAsia="Arial" w:hAnsi="Arial"/>
          <w:color w:val="333333"/>
          <w:sz w:val="20"/>
          <w:szCs w:val="20"/>
        </w:rPr>
        <w:t xml:space="preserve">Après génération du CR, vérifier automatiquement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Vérification</w:t>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Condition d’alerte</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Sévérité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Section macroscopie présente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Absente si le type est biopsie ou pièce opératoire</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Section microscopie/histologie présente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Toujours obligatoire</w:t>
            </w:r>
          </w:p>
        </w:tc>
        <w:tc>
          <w:tcPr>
            <w:tcW w:type="dxa" w:w="20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Erreur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Conclusion présente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Toujours obligatoire</w:t>
            </w:r>
          </w:p>
        </w:tc>
        <w:tc>
          <w:tcPr>
            <w:tcW w:type="dxa" w:w="20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Erreur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Nb sites dictés = nb conclusions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 biopsies multiples : le nombre de sites et le nombre de conclusions doivent correspondre</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Mention d’infiltrant si diagnostic in situ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 le diagnostic contient « in situ » ou « AIN3 », la conclusion doit mentionner « absence de carcinome infiltrant »</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Tableau IHC si 2+ marqueurs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 2+ marqueurs IHC dictés mais pas de tableau généré</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Négations cohérentes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Vérifier que « pas de cellule normale » a été corrigé en « absence de cellule anormale »</w:t>
            </w:r>
          </w:p>
        </w:tc>
        <w:tc>
          <w:tcPr>
            <w:tcW w:type="dxa" w:w="20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Erreur</w:t>
            </w:r>
          </w:p>
        </w:tc>
      </w:tr>
    </w:tbl>
    <w:p>
      <w:pPr>
        <w:spacing w:after="0" w:before="60"/>
      </w:pPr>
    </w:p>
    <w:p>
      <w:pPr>
        <w:spacing w:after="100" w:before="0"/>
        <w:jc w:val="both"/>
      </w:pPr>
      <w:r>
        <w:rPr>
          <w:rFonts w:ascii="Arial" w:cs="Arial" w:eastAsia="Arial" w:hAnsi="Arial"/>
          <w:b/>
          <w:bCs/>
          <w:color w:val="333333"/>
          <w:sz w:val="20"/>
          <w:szCs w:val="20"/>
        </w:rPr>
        <w:t xml:space="preserve">Implémentation : </w:t>
      </w:r>
      <w:r>
        <w:rPr>
          <w:rFonts w:ascii="Arial" w:cs="Arial" w:eastAsia="Arial" w:hAnsi="Arial"/>
          <w:color w:val="333333"/>
          <w:sz w:val="20"/>
          <w:szCs w:val="20"/>
        </w:rPr>
        <w:t xml:space="preserve">la vérification de complétude peut se faire côté backend en Python (parsing du markdown généré) OU en ajoutant une instruction au prompt Claude de retourner une clé JSON séparée avec les warnings. La deuxième option est plus simple et plus fiable.</w:t>
      </w:r>
    </w:p>
    <w:p>
      <w:r>
        <w:br w:type="page"/>
      </w:r>
    </w:p>
    <w:p>
      <w:pPr>
        <w:pStyle w:val="Heading1"/>
      </w:pPr>
      <w:r>
        <w:rPr>
          <w:rFonts w:ascii="Arial" w:cs="Arial" w:eastAsia="Arial" w:hAnsi="Arial"/>
          <w:b/>
          <w:bCs/>
          <w:color w:val="1B4D6E"/>
          <w:sz w:val="34"/>
          <w:szCs w:val="34"/>
        </w:rPr>
        <w:t xml:space="preserve">5. Sécurité &amp; conformité</w:t>
      </w:r>
    </w:p>
    <w:p>
      <w:pPr>
        <w:pStyle w:val="Heading2"/>
      </w:pPr>
      <w:r>
        <w:rPr>
          <w:rFonts w:ascii="Arial" w:cs="Arial" w:eastAsia="Arial" w:hAnsi="Arial"/>
          <w:b/>
          <w:bCs/>
          <w:color w:val="2AAA8A"/>
          <w:sz w:val="26"/>
          <w:szCs w:val="26"/>
        </w:rPr>
        <w:t xml:space="preserve">5.1 Architecture anonymisée</w:t>
      </w:r>
    </w:p>
    <w:p>
      <w:pPr>
        <w:spacing w:after="100" w:before="0"/>
        <w:jc w:val="both"/>
      </w:pPr>
      <w:r>
        <w:rPr>
          <w:rFonts w:ascii="Arial" w:cs="Arial" w:eastAsia="Arial" w:hAnsi="Arial"/>
          <w:color w:val="333333"/>
          <w:sz w:val="20"/>
          <w:szCs w:val="20"/>
        </w:rPr>
        <w:t xml:space="preserve">Le principe fondamental est simple : aucune donnée de santé à caractère personnel ne transite par notre infrastructure. Le praticien ne dicte jamais le nom du patient. S’il le fait par erreur, la couche de sanitization le supprime avant envoi à l’API.</w:t>
      </w:r>
    </w:p>
    <w:p>
      <w:pPr>
        <w:pStyle w:val="Heading2"/>
      </w:pPr>
      <w:r>
        <w:rPr>
          <w:rFonts w:ascii="Arial" w:cs="Arial" w:eastAsia="Arial" w:hAnsi="Arial"/>
          <w:b/>
          <w:bCs/>
          <w:color w:val="2AAA8A"/>
          <w:sz w:val="26"/>
          <w:szCs w:val="26"/>
        </w:rPr>
        <w:t xml:space="preserve">5.2 Checklist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Mesure</w:t>
            </w:r>
          </w:p>
        </w:tc>
        <w:tc>
          <w:tcPr>
            <w:tcW w:type="dxa" w:w="5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Implémentation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Sanitization des données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Filtre regex + NER (spaCy) côté backend. Détecte noms propres, dates de naissance, n° de dossier. Supprime AVANT envoi API. Log l’événement.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HTTPS obligatoire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TLS 1.3 partout. Certificat Let’s Encrypt ou Cloudflare. Redirection HTTP → HTTPS.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 JWT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Tokens signés RS256. Expiration : 1h (access), 7j (refresh). Stockage : httpOnly cookie (pas localStorage).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Rate limiting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requêtes/min par user. Protection contre l’abus d’API.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Chiffrement at rest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avec chiffrement du disque (default sur les managed databases).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Logs d’audit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Chaque action (génération CR, export, modification, connexion) est loggée avec user_id, timestamp, IP. Conformité ISO 15189.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RGPD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Registre des traitements documenté. Politique de confidentialité publique. Droit à l’effacement (suppression du compte + données). Pas de données patient stockées = simplification majeure.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Backup</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Backup BDD quotidien. Rétention 30 jours. Test de restauration mensuel.</w:t>
            </w:r>
          </w:p>
        </w:tc>
      </w:tr>
    </w:tbl>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CNIL — Guide RGPD pour les professionnels de santé — https://www.cnil.fr/fr/professionnels-de-sante</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RGPD Article 32 — Sécurité du traitement — https://gdpr-info.eu/art-32-gdpr/</w:t>
      </w:r>
    </w:p>
    <w:p>
      <w:r>
        <w:br w:type="page"/>
      </w:r>
    </w:p>
    <w:p>
      <w:pPr>
        <w:pStyle w:val="Heading1"/>
      </w:pPr>
      <w:r>
        <w:rPr>
          <w:rFonts w:ascii="Arial" w:cs="Arial" w:eastAsia="Arial" w:hAnsi="Arial"/>
          <w:b/>
          <w:bCs/>
          <w:color w:val="1B4D6E"/>
          <w:sz w:val="34"/>
          <w:szCs w:val="34"/>
        </w:rPr>
        <w:t xml:space="preserve">6. Normes médicales à implémenter</w:t>
      </w:r>
    </w:p>
    <w:p>
      <w:pPr>
        <w:spacing w:after="100" w:before="0"/>
        <w:jc w:val="both"/>
      </w:pPr>
      <w:r>
        <w:rPr>
          <w:rFonts w:ascii="Arial" w:cs="Arial" w:eastAsia="Arial" w:hAnsi="Arial"/>
          <w:color w:val="333333"/>
          <w:sz w:val="20"/>
          <w:szCs w:val="20"/>
        </w:rPr>
        <w:t xml:space="preserve">Les normes ci-dessous sont classées par ordre de priorité pour le développement :</w:t>
      </w:r>
    </w:p>
    <w:p>
      <w:pPr>
        <w:pStyle w:val="Heading2"/>
      </w:pPr>
      <w:r>
        <w:rPr>
          <w:rFonts w:ascii="Arial" w:cs="Arial" w:eastAsia="Arial" w:hAnsi="Arial"/>
          <w:b/>
          <w:bCs/>
          <w:color w:val="2AAA8A"/>
          <w:sz w:val="26"/>
          <w:szCs w:val="26"/>
        </w:rPr>
        <w:t xml:space="preserve">6.1 ADICAP (Priorité haute — V2)</w:t>
      </w:r>
    </w:p>
    <w:p>
      <w:pPr>
        <w:spacing w:after="100" w:before="0"/>
        <w:jc w:val="both"/>
      </w:pPr>
      <w:r>
        <w:rPr>
          <w:rFonts w:ascii="Arial" w:cs="Arial" w:eastAsia="Arial" w:hAnsi="Arial"/>
          <w:color w:val="333333"/>
          <w:sz w:val="20"/>
          <w:szCs w:val="20"/>
        </w:rPr>
        <w:t xml:space="preserve">Le code ADICAP est le système de codage français obligatoire en anatomopathologie, géré par l’</w:t>
      </w:r>
      <w:r>
        <w:rPr>
          <w:rFonts w:ascii="Arial" w:cs="Arial" w:eastAsia="Arial" w:hAnsi="Arial"/>
          <w:b/>
          <w:bCs/>
          <w:color w:val="333333"/>
          <w:sz w:val="20"/>
          <w:szCs w:val="20"/>
        </w:rPr>
        <w:t xml:space="preserve">Association pour le Développement de l’Informatique en Cytologie et Anatomie Pathologiques</w:t>
      </w:r>
      <w:r>
        <w:rPr>
          <w:rFonts w:ascii="Arial" w:cs="Arial" w:eastAsia="Arial" w:hAnsi="Arial"/>
          <w:color w:val="333333"/>
          <w:sz w:val="20"/>
          <w:szCs w:val="20"/>
        </w:rPr>
        <w:t xml:space="preserve">.</w:t>
      </w:r>
    </w:p>
    <w:p>
      <w:pPr>
        <w:spacing w:after="100" w:before="0"/>
        <w:jc w:val="both"/>
      </w:pPr>
      <w:r>
        <w:rPr>
          <w:rFonts w:ascii="Arial" w:cs="Arial" w:eastAsia="Arial" w:hAnsi="Arial"/>
          <w:b/>
          <w:bCs/>
          <w:color w:val="333333"/>
          <w:sz w:val="20"/>
          <w:szCs w:val="20"/>
        </w:rPr>
        <w:t xml:space="preserve">Structure du code (8 caractères) : </w:t>
      </w:r>
      <w:r>
        <w:rPr>
          <w:rFonts w:ascii="Arial" w:cs="Arial" w:eastAsia="Arial" w:hAnsi="Arial"/>
          <w:color w:val="333333"/>
          <w:sz w:val="20"/>
          <w:szCs w:val="20"/>
        </w:rPr>
        <w:t xml:space="preserve">1 car. mode de prélèvement + 1 car. technique + 2 car. organe + 4 car. lésion. Optionnellement 7 caractères supplémentaires pour la précision.</w:t>
      </w:r>
    </w:p>
    <w:p>
      <w:pPr>
        <w:spacing w:after="100" w:before="0"/>
        <w:jc w:val="both"/>
      </w:pPr>
      <w:r>
        <w:rPr>
          <w:rFonts w:ascii="Arial" w:cs="Arial" w:eastAsia="Arial" w:hAnsi="Arial"/>
          <w:b/>
          <w:bCs/>
          <w:color w:val="333333"/>
          <w:sz w:val="20"/>
          <w:szCs w:val="20"/>
        </w:rPr>
        <w:t xml:space="preserve">Implémentation : </w:t>
      </w:r>
      <w:r>
        <w:rPr>
          <w:rFonts w:ascii="Arial" w:cs="Arial" w:eastAsia="Arial" w:hAnsi="Arial"/>
          <w:color w:val="333333"/>
          <w:sz w:val="20"/>
          <w:szCs w:val="20"/>
        </w:rPr>
        <w:t xml:space="preserve">créer une table de mapping en BDD (ou CSV embarqué) avec les codes ADICAP. Après génération du CR, le LLM ou un moteur de règles propose le code ADICAP. Le praticien valide.</w:t>
      </w:r>
    </w:p>
    <w:p>
      <w:pPr>
        <w:spacing w:after="100" w:before="0"/>
        <w:jc w:val="both"/>
      </w:pPr>
      <w:r>
        <w:rPr>
          <w:rFonts w:ascii="Arial" w:cs="Arial" w:eastAsia="Arial" w:hAnsi="Arial"/>
          <w:b/>
          <w:bCs/>
          <w:color w:val="333333"/>
          <w:sz w:val="20"/>
          <w:szCs w:val="20"/>
        </w:rPr>
        <w:t xml:space="preserve">Pourquoi c’est important : </w:t>
      </w:r>
      <w:r>
        <w:rPr>
          <w:rFonts w:ascii="Arial" w:cs="Arial" w:eastAsia="Arial" w:hAnsi="Arial"/>
          <w:color w:val="333333"/>
          <w:sz w:val="20"/>
          <w:szCs w:val="20"/>
        </w:rPr>
        <w:t xml:space="preserve">le codage ADICAP est obligatoire pour les registres du cancer en France. Automatiser cette tâche fait gagner du temps et réduit les erreurs de codage. Aucun concurrent ne le fait.</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ADICAP — Site officiel — https://www.adicap.asso.fr/</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AP-HP edsnlp — ADICAP NLP pipeline — https://aphp.github.io/edsnlp/v0.7.2/pipelines/ner/adicap/</w:t>
      </w:r>
    </w:p>
    <w:p>
      <w:pPr>
        <w:pStyle w:val="Heading2"/>
      </w:pPr>
      <w:r>
        <w:rPr>
          <w:rFonts w:ascii="Arial" w:cs="Arial" w:eastAsia="Arial" w:hAnsi="Arial"/>
          <w:b/>
          <w:bCs/>
          <w:color w:val="2AAA8A"/>
          <w:sz w:val="26"/>
          <w:szCs w:val="26"/>
        </w:rPr>
        <w:t xml:space="preserve">6.2 ISO 15189 / ISO/TS 23824 (Argument commercial)</w:t>
      </w:r>
    </w:p>
    <w:p>
      <w:pPr>
        <w:spacing w:after="100" w:before="0"/>
        <w:jc w:val="both"/>
      </w:pPr>
      <w:r>
        <w:rPr>
          <w:rFonts w:ascii="Arial" w:cs="Arial" w:eastAsia="Arial" w:hAnsi="Arial"/>
          <w:color w:val="333333"/>
          <w:sz w:val="20"/>
          <w:szCs w:val="20"/>
        </w:rPr>
        <w:t xml:space="preserve">L’accréditation COFRAC ISO 15189 est </w:t>
      </w:r>
      <w:r>
        <w:rPr>
          <w:rFonts w:ascii="Arial" w:cs="Arial" w:eastAsia="Arial" w:hAnsi="Arial"/>
          <w:b/>
          <w:bCs/>
          <w:color w:val="333333"/>
          <w:sz w:val="20"/>
          <w:szCs w:val="20"/>
        </w:rPr>
        <w:t xml:space="preserve">obligatoire pour les laboratoires d’anatomopathologie en France</w:t>
      </w:r>
      <w:r>
        <w:rPr>
          <w:rFonts w:ascii="Arial" w:cs="Arial" w:eastAsia="Arial" w:hAnsi="Arial"/>
          <w:color w:val="333333"/>
          <w:sz w:val="20"/>
          <w:szCs w:val="20"/>
        </w:rPr>
        <w:t xml:space="preserve">. Le guide ISO/TS 23824:2024 détaille les exigences spécifiques à l’anatomopathologie.</w:t>
      </w:r>
    </w:p>
    <w:p>
      <w:pPr>
        <w:spacing w:after="100" w:before="0"/>
        <w:jc w:val="both"/>
      </w:pPr>
      <w:r>
        <w:rPr>
          <w:rFonts w:ascii="Arial" w:cs="Arial" w:eastAsia="Arial" w:hAnsi="Arial"/>
          <w:color w:val="333333"/>
          <w:sz w:val="20"/>
          <w:szCs w:val="20"/>
        </w:rPr>
        <w:t xml:space="preserve">Notre produit aide à la conformité via :</w:t>
      </w:r>
    </w:p>
    <w:p>
      <w:pPr>
        <w:pStyle w:val="ListParagraph"/>
        <w:numPr>
          <w:ilvl w:val="0"/>
          <w:numId w:val="3"/>
        </w:numPr>
        <w:spacing w:after="60"/>
      </w:pPr>
      <w:r>
        <w:rPr>
          <w:rFonts w:ascii="Arial" w:cs="Arial" w:eastAsia="Arial" w:hAnsi="Arial"/>
          <w:b/>
          <w:bCs/>
          <w:color w:val="333333"/>
          <w:sz w:val="20"/>
          <w:szCs w:val="20"/>
        </w:rPr>
        <w:t xml:space="preserve">Traçabilité post-analytique</w:t>
      </w:r>
      <w:r>
        <w:rPr>
          <w:rFonts w:ascii="Arial" w:cs="Arial" w:eastAsia="Arial" w:hAnsi="Arial"/>
          <w:color w:val="333333"/>
          <w:sz w:val="20"/>
          <w:szCs w:val="20"/>
        </w:rPr>
        <w:t xml:space="preserve"> : historique des CRs, horodatage, versions, logs d’audit.</w:t>
      </w:r>
    </w:p>
    <w:p>
      <w:pPr>
        <w:pStyle w:val="ListParagraph"/>
        <w:numPr>
          <w:ilvl w:val="0"/>
          <w:numId w:val="3"/>
        </w:numPr>
        <w:spacing w:after="60"/>
      </w:pPr>
      <w:r>
        <w:rPr>
          <w:rFonts w:ascii="Arial" w:cs="Arial" w:eastAsia="Arial" w:hAnsi="Arial"/>
          <w:b/>
          <w:bCs/>
          <w:color w:val="333333"/>
          <w:sz w:val="20"/>
          <w:szCs w:val="20"/>
        </w:rPr>
        <w:t xml:space="preserve">Standardisation</w:t>
      </w:r>
      <w:r>
        <w:rPr>
          <w:rFonts w:ascii="Arial" w:cs="Arial" w:eastAsia="Arial" w:hAnsi="Arial"/>
          <w:color w:val="333333"/>
          <w:sz w:val="20"/>
          <w:szCs w:val="20"/>
        </w:rPr>
        <w:t xml:space="preserve"> : même structure de CR pour tous les praticiens d’un labo.</w:t>
      </w:r>
    </w:p>
    <w:p>
      <w:pPr>
        <w:pStyle w:val="ListParagraph"/>
        <w:numPr>
          <w:ilvl w:val="0"/>
          <w:numId w:val="3"/>
        </w:numPr>
        <w:spacing w:after="60"/>
      </w:pPr>
      <w:r>
        <w:rPr>
          <w:rFonts w:ascii="Arial" w:cs="Arial" w:eastAsia="Arial" w:hAnsi="Arial"/>
          <w:b/>
          <w:bCs/>
          <w:color w:val="333333"/>
          <w:sz w:val="20"/>
          <w:szCs w:val="20"/>
        </w:rPr>
        <w:t xml:space="preserve">Contrôle qualité</w:t>
      </w:r>
      <w:r>
        <w:rPr>
          <w:rFonts w:ascii="Arial" w:cs="Arial" w:eastAsia="Arial" w:hAnsi="Arial"/>
          <w:color w:val="333333"/>
          <w:sz w:val="20"/>
          <w:szCs w:val="20"/>
        </w:rPr>
        <w:t xml:space="preserve"> : vérification de complétude automatique.</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ISO 15189:2022 — https://www.iso.org/standard/56115.html</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ISO/TS 23824:2024 — Guide anatomopathologie — https://www.iso.org/standard/77070.html</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COFRAC — Accréditation santé — https://www.cofrac.fr/en/a-propos-du-cofrac/our-organisation/healthcare-division</w:t>
      </w:r>
    </w:p>
    <w:p>
      <w:pPr>
        <w:pStyle w:val="Heading2"/>
      </w:pPr>
      <w:r>
        <w:rPr>
          <w:rFonts w:ascii="Arial" w:cs="Arial" w:eastAsia="Arial" w:hAnsi="Arial"/>
          <w:b/>
          <w:bCs/>
          <w:color w:val="2AAA8A"/>
          <w:sz w:val="26"/>
          <w:szCs w:val="26"/>
        </w:rPr>
        <w:t xml:space="preserve">6.3 HL7 FHIR DiagnosticReport (V2)</w:t>
      </w:r>
    </w:p>
    <w:p>
      <w:pPr>
        <w:spacing w:after="100" w:before="0"/>
        <w:jc w:val="both"/>
      </w:pPr>
      <w:r>
        <w:rPr>
          <w:rFonts w:ascii="Arial" w:cs="Arial" w:eastAsia="Arial" w:hAnsi="Arial"/>
          <w:color w:val="333333"/>
          <w:sz w:val="20"/>
          <w:szCs w:val="20"/>
        </w:rPr>
        <w:t xml:space="preserve">Le standard HL7 FHIR R4 définit le resource </w:t>
      </w:r>
      <w:r>
        <w:rPr>
          <w:rFonts w:ascii="JetBrains Mono, Consolas, Courier New" w:cs="JetBrains Mono, Consolas, Courier New" w:eastAsia="JetBrains Mono, Consolas, Courier New" w:hAnsi="JetBrains Mono, Consolas, Courier New"/>
          <w:color w:val="D63384"/>
          <w:sz w:val="19"/>
          <w:szCs w:val="19"/>
        </w:rPr>
        <w:t xml:space="preserve">DiagnosticReport</w:t>
      </w:r>
      <w:r>
        <w:rPr>
          <w:rFonts w:ascii="Arial" w:cs="Arial" w:eastAsia="Arial" w:hAnsi="Arial"/>
          <w:color w:val="333333"/>
          <w:sz w:val="20"/>
          <w:szCs w:val="20"/>
        </w:rPr>
        <w:t xml:space="preserve"> pour les rapports de laboratoire et pathologie.</w:t>
      </w:r>
    </w:p>
    <w:p>
      <w:pPr>
        <w:spacing w:after="100" w:before="0"/>
        <w:jc w:val="both"/>
      </w:pPr>
      <w:r>
        <w:rPr>
          <w:rFonts w:ascii="Arial" w:cs="Arial" w:eastAsia="Arial" w:hAnsi="Arial"/>
          <w:color w:val="333333"/>
          <w:sz w:val="20"/>
          <w:szCs w:val="20"/>
        </w:rPr>
        <w:t xml:space="preserve">Structure FHIR à générer :</w:t>
      </w:r>
    </w:p>
    <w:p>
      <w:pPr>
        <w:pStyle w:val="ListParagraph"/>
        <w:numPr>
          <w:ilvl w:val="0"/>
          <w:numId w:val="3"/>
        </w:numPr>
        <w:spacing w:after="60"/>
      </w:pPr>
      <w:r>
        <w:rPr>
          <w:rFonts w:ascii="JetBrains Mono, Consolas, Courier New" w:cs="JetBrains Mono, Consolas, Courier New" w:eastAsia="JetBrains Mono, Consolas, Courier New" w:hAnsi="JetBrains Mono, Consolas, Courier New"/>
          <w:color w:val="D63384"/>
          <w:sz w:val="19"/>
          <w:szCs w:val="19"/>
        </w:rPr>
        <w:t xml:space="preserve">DiagnosticReport</w:t>
      </w:r>
      <w:r>
        <w:rPr>
          <w:rFonts w:ascii="Arial" w:cs="Arial" w:eastAsia="Arial" w:hAnsi="Arial"/>
          <w:color w:val="333333"/>
          <w:sz w:val="20"/>
          <w:szCs w:val="20"/>
        </w:rPr>
        <w:t xml:space="preserve"> : le CR complet (status, code, conclusion, effectiveDateTime).</w:t>
      </w:r>
    </w:p>
    <w:p>
      <w:pPr>
        <w:pStyle w:val="ListParagraph"/>
        <w:numPr>
          <w:ilvl w:val="0"/>
          <w:numId w:val="3"/>
        </w:numPr>
        <w:spacing w:after="60"/>
      </w:pPr>
      <w:r>
        <w:rPr>
          <w:rFonts w:ascii="JetBrains Mono, Consolas, Courier New" w:cs="JetBrains Mono, Consolas, Courier New" w:eastAsia="JetBrains Mono, Consolas, Courier New" w:hAnsi="JetBrains Mono, Consolas, Courier New"/>
          <w:color w:val="D63384"/>
          <w:sz w:val="19"/>
          <w:szCs w:val="19"/>
        </w:rPr>
        <w:t xml:space="preserve">Specimen</w:t>
      </w:r>
      <w:r>
        <w:rPr>
          <w:rFonts w:ascii="Arial" w:cs="Arial" w:eastAsia="Arial" w:hAnsi="Arial"/>
          <w:color w:val="333333"/>
          <w:sz w:val="20"/>
          <w:szCs w:val="20"/>
        </w:rPr>
        <w:t xml:space="preserve"> : le prélèvement (type, collection method, receivedTime).</w:t>
      </w:r>
    </w:p>
    <w:p>
      <w:pPr>
        <w:pStyle w:val="ListParagraph"/>
        <w:numPr>
          <w:ilvl w:val="0"/>
          <w:numId w:val="3"/>
        </w:numPr>
        <w:spacing w:after="60"/>
      </w:pPr>
      <w:r>
        <w:rPr>
          <w:rFonts w:ascii="JetBrains Mono, Consolas, Courier New" w:cs="JetBrains Mono, Consolas, Courier New" w:eastAsia="JetBrains Mono, Consolas, Courier New" w:hAnsi="JetBrains Mono, Consolas, Courier New"/>
          <w:color w:val="D63384"/>
          <w:sz w:val="19"/>
          <w:szCs w:val="19"/>
        </w:rPr>
        <w:t xml:space="preserve">Observation</w:t>
      </w:r>
      <w:r>
        <w:rPr>
          <w:rFonts w:ascii="Arial" w:cs="Arial" w:eastAsia="Arial" w:hAnsi="Arial"/>
          <w:color w:val="333333"/>
          <w:sz w:val="20"/>
          <w:szCs w:val="20"/>
        </w:rPr>
        <w:t xml:space="preserve"> : chaque finding (code SNOMED CT, valueString, interpretation).</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FHIR R4 DiagnosticReport — https://hl7.org/fhir/R4/diagnosticreport.html</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Design FHIR profiles for pathology — https://pubmed.ncbi.nlm.nih.gov/38269756/</w:t>
      </w:r>
    </w:p>
    <w:p>
      <w:pPr>
        <w:pStyle w:val="Heading2"/>
      </w:pPr>
      <w:r>
        <w:rPr>
          <w:rFonts w:ascii="Arial" w:cs="Arial" w:eastAsia="Arial" w:hAnsi="Arial"/>
          <w:b/>
          <w:bCs/>
          <w:color w:val="2AAA8A"/>
          <w:sz w:val="26"/>
          <w:szCs w:val="26"/>
        </w:rPr>
        <w:t xml:space="preserve">6.4 IHE APSR 2.0 (V2)</w:t>
      </w:r>
    </w:p>
    <w:p>
      <w:pPr>
        <w:spacing w:after="100" w:before="0"/>
        <w:jc w:val="both"/>
      </w:pPr>
      <w:r>
        <w:rPr>
          <w:rFonts w:ascii="Arial" w:cs="Arial" w:eastAsia="Arial" w:hAnsi="Arial"/>
          <w:color w:val="333333"/>
          <w:sz w:val="20"/>
          <w:szCs w:val="20"/>
        </w:rPr>
        <w:t xml:space="preserve">Le profil </w:t>
      </w:r>
      <w:r>
        <w:rPr>
          <w:rFonts w:ascii="Arial" w:cs="Arial" w:eastAsia="Arial" w:hAnsi="Arial"/>
          <w:b/>
          <w:bCs/>
          <w:color w:val="333333"/>
          <w:sz w:val="20"/>
          <w:szCs w:val="20"/>
        </w:rPr>
        <w:t xml:space="preserve">IHE Anatomic Pathology Structured Report 2.0</w:t>
      </w:r>
      <w:r>
        <w:rPr>
          <w:rFonts w:ascii="Arial" w:cs="Arial" w:eastAsia="Arial" w:hAnsi="Arial"/>
          <w:color w:val="333333"/>
          <w:sz w:val="20"/>
          <w:szCs w:val="20"/>
        </w:rPr>
        <w:t xml:space="preserve"> définit un template CDA R2 (XML) pour les CR d’anatomopathologie.</w:t>
      </w:r>
    </w:p>
    <w:p>
      <w:pPr>
        <w:spacing w:after="100" w:before="0"/>
        <w:jc w:val="both"/>
      </w:pPr>
      <w:r>
        <w:rPr>
          <w:rFonts w:ascii="Arial" w:cs="Arial" w:eastAsia="Arial" w:hAnsi="Arial"/>
          <w:b/>
          <w:bCs/>
          <w:color w:val="333333"/>
          <w:sz w:val="20"/>
          <w:szCs w:val="20"/>
        </w:rPr>
        <w:t xml:space="preserve">Template ID : </w:t>
      </w:r>
      <w:r>
        <w:rPr>
          <w:rFonts w:ascii="JetBrains Mono, Consolas, Courier New" w:cs="JetBrains Mono, Consolas, Courier New" w:eastAsia="JetBrains Mono, Consolas, Courier New" w:hAnsi="JetBrains Mono, Consolas, Courier New"/>
          <w:color w:val="D63384"/>
          <w:sz w:val="19"/>
          <w:szCs w:val="19"/>
        </w:rPr>
        <w:t xml:space="preserve">1.3.6.1.4.1.19376.1.8.1.1.1</w:t>
      </w:r>
    </w:p>
    <w:p>
      <w:pPr>
        <w:spacing w:after="100" w:before="0"/>
        <w:jc w:val="both"/>
      </w:pPr>
      <w:r>
        <w:rPr>
          <w:rFonts w:ascii="Arial" w:cs="Arial" w:eastAsia="Arial" w:hAnsi="Arial"/>
          <w:color w:val="333333"/>
          <w:sz w:val="20"/>
          <w:szCs w:val="20"/>
        </w:rPr>
        <w:t xml:space="preserve">Structure : header (contexte de soin, patient anonymisé, pathologiste) + body (sections codées avec entries SNOMED CT).</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IHE APSR Wiki — https://wiki.ihe.net/index.php/Anatomic_Pathology_Structured_Report</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IHE PaLM APSR Supplement — https://www.ihe.net/uploadedFiles/Documents/PaLM/IHE_PaLM_Suppl_APSR_2.0_PC_2017-09-27.pdf</w:t>
      </w:r>
    </w:p>
    <w:p>
      <w:pPr>
        <w:pStyle w:val="Heading2"/>
      </w:pPr>
      <w:r>
        <w:rPr>
          <w:rFonts w:ascii="Arial" w:cs="Arial" w:eastAsia="Arial" w:hAnsi="Arial"/>
          <w:b/>
          <w:bCs/>
          <w:color w:val="2AAA8A"/>
          <w:sz w:val="26"/>
          <w:szCs w:val="26"/>
        </w:rPr>
        <w:t xml:space="preserve">6.5 SNOMED CT &amp; ICD-O (V3)</w:t>
      </w:r>
    </w:p>
    <w:p>
      <w:pPr>
        <w:spacing w:after="100" w:before="0"/>
        <w:jc w:val="both"/>
      </w:pPr>
      <w:r>
        <w:rPr>
          <w:rFonts w:ascii="Arial" w:cs="Arial" w:eastAsia="Arial" w:hAnsi="Arial"/>
          <w:b/>
          <w:bCs/>
          <w:color w:val="333333"/>
          <w:sz w:val="20"/>
          <w:szCs w:val="20"/>
        </w:rPr>
        <w:t xml:space="preserve">SNOMED CT : </w:t>
      </w:r>
      <w:r>
        <w:rPr>
          <w:rFonts w:ascii="Arial" w:cs="Arial" w:eastAsia="Arial" w:hAnsi="Arial"/>
          <w:color w:val="333333"/>
          <w:sz w:val="20"/>
          <w:szCs w:val="20"/>
        </w:rPr>
        <w:t xml:space="preserve">nomenclature internationale. Utiliser les hiérarchies Body Structure + Clinical Finding pour coder les diagnostics. Mapping depuis le texte généré par le LLM.</w:t>
      </w:r>
    </w:p>
    <w:p>
      <w:pPr>
        <w:spacing w:after="100" w:before="0"/>
        <w:jc w:val="both"/>
      </w:pPr>
      <w:r>
        <w:rPr>
          <w:rFonts w:ascii="Arial" w:cs="Arial" w:eastAsia="Arial" w:hAnsi="Arial"/>
          <w:b/>
          <w:bCs/>
          <w:color w:val="333333"/>
          <w:sz w:val="20"/>
          <w:szCs w:val="20"/>
        </w:rPr>
        <w:t xml:space="preserve">ICD-O : </w:t>
      </w:r>
      <w:r>
        <w:rPr>
          <w:rFonts w:ascii="Arial" w:cs="Arial" w:eastAsia="Arial" w:hAnsi="Arial"/>
          <w:color w:val="333333"/>
          <w:sz w:val="20"/>
          <w:szCs w:val="20"/>
        </w:rPr>
        <w:t xml:space="preserve">Classification Internationale des Maladies pour l’Oncologie. Code topographie (4 car.) + morphologie (5 car.) + comportement (1 car.). Utile pour les registres du cancer et l’épidémiologie.</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SNOMED CT in Pathology — https://wiki.ihe.net/images/8/88/SNOMED_CT_in_Pathology_Presentation.pdf</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ICD-O — OMS — https://www.who.int/standards/classifications/other-classifications/international-classification-of-diseases-for-oncology</w:t>
      </w:r>
    </w:p>
    <w:p>
      <w:r>
        <w:br w:type="page"/>
      </w:r>
    </w:p>
    <w:p>
      <w:pPr>
        <w:pStyle w:val="Heading1"/>
      </w:pPr>
      <w:r>
        <w:rPr>
          <w:rFonts w:ascii="Arial" w:cs="Arial" w:eastAsia="Arial" w:hAnsi="Arial"/>
          <w:b/>
          <w:bCs/>
          <w:color w:val="1B4D6E"/>
          <w:sz w:val="34"/>
          <w:szCs w:val="34"/>
        </w:rPr>
        <w:t xml:space="preserve">7. Stack technique recommandée</w:t>
      </w:r>
    </w:p>
    <w:p>
      <w:pPr>
        <w:pStyle w:val="Heading2"/>
      </w:pPr>
      <w:r>
        <w:rPr>
          <w:rFonts w:ascii="Arial" w:cs="Arial" w:eastAsia="Arial" w:hAnsi="Arial"/>
          <w:b/>
          <w:bCs/>
          <w:color w:val="2AAA8A"/>
          <w:sz w:val="26"/>
          <w:szCs w:val="26"/>
        </w:rPr>
        <w:t xml:space="preserve">7.1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Composant</w:t>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Technologie</w:t>
            </w:r>
          </w:p>
        </w:tc>
        <w:tc>
          <w:tcPr>
            <w:tcW w:type="dxa" w:w="3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(Python 3.11+)</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Déjà utilisé dans le POC. Garder.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SQLAlchemy 2.0 + Alembic (migrations)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Python pour 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BDD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Managed (Supabase / Neon) ou self-hosted.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python-jose (JWT) + passlib[bcrypt]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 besoin d’un service externe pour le MVP.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LLM Client</w:t>
            </w:r>
          </w:p>
        </w:tc>
        <w:tc>
          <w:tcPr>
            <w:tcW w:type="dxa" w:w="3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anthropic (SDK Python Anthropic)</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pip install anthropic. Utiliser Claude.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Client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httpx (vers Mistral Audio API)</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Déjà dans le POC. Garder Voxtral Mini.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Sanitization NER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spaCy + fr_core_news_sm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 détection noms propres dans la transcription.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python-docx</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Déjà dans le POC. Améliorer le formatage.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Paiement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(SDK Python)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 + webhooks + gestion abonnements.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Tâches async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 Redis (optionnel MVP)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 les exports lourds ou le batch processing.</w:t>
            </w:r>
          </w:p>
        </w:tc>
      </w:tr>
    </w:tbl>
    <w:p>
      <w:pPr>
        <w:pStyle w:val="Heading2"/>
      </w:pPr>
      <w:r>
        <w:rPr>
          <w:rFonts w:ascii="Arial" w:cs="Arial" w:eastAsia="Arial" w:hAnsi="Arial"/>
          <w:b/>
          <w:bCs/>
          <w:color w:val="2AAA8A"/>
          <w:sz w:val="26"/>
          <w:szCs w:val="26"/>
        </w:rPr>
        <w:t xml:space="preserve">7.2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Composant</w:t>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Technologie</w:t>
            </w:r>
          </w:p>
        </w:tc>
        <w:tc>
          <w:tcPr>
            <w:tcW w:type="dxa" w:w="3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19 + TypeScript</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Déjà dans le POC. Garder.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Déjà dans le POC.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UI Components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 + Tailwind CSS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system médical propre et professionnel.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State management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Zustand ou React Context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Léger, suffisant pour l’app.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Markdown rendering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react-markdown ou marked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 prévisualiser le CR généré.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recording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MediaRecorder API (natif)</w:t>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Déjà dans le POC.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Charts (dashboard)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 le dashboard d’activité.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Router v7</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Pages : login, app, historique, settings, admin.</w:t>
            </w:r>
          </w:p>
        </w:tc>
      </w:tr>
    </w:tbl>
    <w:p>
      <w:pPr>
        <w:pStyle w:val="Heading2"/>
      </w:pPr>
      <w:r>
        <w:rPr>
          <w:rFonts w:ascii="Arial" w:cs="Arial" w:eastAsia="Arial" w:hAnsi="Arial"/>
          <w:b/>
          <w:bCs/>
          <w:color w:val="2AAA8A"/>
          <w:sz w:val="26"/>
          <w:szCs w:val="26"/>
        </w:rPr>
        <w:t xml:space="preserve">7.3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Composant</w:t>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Recommandation</w:t>
            </w:r>
          </w:p>
        </w:tc>
        <w:tc>
          <w:tcPr>
            <w:tcW w:type="dxa" w:w="3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Coût estimé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Serveur 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Scaleway DEV1-S / Railway / Render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~15–30 €/mois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BDD 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(plan gratuit puis Pro) ou Neon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0–25 €/mois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 hosting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(gratuit pour MVP) ou Netlify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Domaine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anapath-ai.fr / anapathai.com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STT (Voxtral)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~0.30 €/min d’audio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~0.15 €/CR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LLM (Claude)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Sonnet : ~3€/M input + 15€/M output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~0.02–0.05 €/CR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infrastructure</w:t>
            </w:r>
          </w:p>
        </w:tc>
        <w:tc>
          <w:tcPr>
            <w:tcW w:type="dxa" w:w="3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~50–80 €/mois + ~0.17–0.20 €/CR</w:t>
            </w:r>
          </w:p>
        </w:tc>
      </w:tr>
    </w:tbl>
    <w:p>
      <w:pPr>
        <w:spacing w:after="0" w:before="40"/>
      </w:pPr>
    </w:p>
    <w:p>
      <w:pPr>
        <w:spacing w:after="100" w:before="0"/>
        <w:jc w:val="both"/>
      </w:pPr>
      <w:r>
        <w:rPr>
          <w:rFonts w:ascii="Arial" w:cs="Arial" w:eastAsia="Arial" w:hAnsi="Arial"/>
          <w:b/>
          <w:bCs/>
          <w:color w:val="333333"/>
          <w:sz w:val="20"/>
          <w:szCs w:val="20"/>
        </w:rPr>
        <w:t xml:space="preserve">Marge par CR : </w:t>
      </w:r>
      <w:r>
        <w:rPr>
          <w:rFonts w:ascii="Arial" w:cs="Arial" w:eastAsia="Arial" w:hAnsi="Arial"/>
          <w:color w:val="333333"/>
          <w:sz w:val="20"/>
          <w:szCs w:val="20"/>
        </w:rPr>
        <w:t xml:space="preserve">au prix de 69 €/mois pour 200 CR, le coût API par CR est de ~0.20 €, soit ~40 € de coût API pour 200 CR. La marge brute est d’environ 42 % même sur l’offre la moins chère.</w:t>
      </w:r>
    </w:p>
    <w:p>
      <w:r>
        <w:br w:type="page"/>
      </w:r>
    </w:p>
    <w:p>
      <w:pPr>
        <w:pStyle w:val="Heading1"/>
      </w:pPr>
      <w:r>
        <w:rPr>
          <w:rFonts w:ascii="Arial" w:cs="Arial" w:eastAsia="Arial" w:hAnsi="Arial"/>
          <w:b/>
          <w:bCs/>
          <w:color w:val="1B4D6E"/>
          <w:sz w:val="34"/>
          <w:szCs w:val="34"/>
        </w:rPr>
        <w:t xml:space="preserve">8. Ergonomie &amp; UX médicale</w:t>
      </w:r>
    </w:p>
    <w:p>
      <w:pPr>
        <w:spacing w:after="100" w:before="0"/>
        <w:jc w:val="both"/>
      </w:pPr>
      <w:r>
        <w:rPr>
          <w:rFonts w:ascii="Arial" w:cs="Arial" w:eastAsia="Arial" w:hAnsi="Arial"/>
          <w:color w:val="333333"/>
          <w:sz w:val="20"/>
          <w:szCs w:val="20"/>
        </w:rPr>
        <w:t xml:space="preserve">Le contexte d’utilisation est spécifique : </w:t>
      </w:r>
      <w:r>
        <w:rPr>
          <w:rFonts w:ascii="Arial" w:cs="Arial" w:eastAsia="Arial" w:hAnsi="Arial"/>
          <w:b/>
          <w:bCs/>
          <w:color w:val="333333"/>
          <w:sz w:val="20"/>
          <w:szCs w:val="20"/>
        </w:rPr>
        <w:t xml:space="preserve">un médecin au microscope, dans une pièce souvent sombre, qui veut dicter vite sans quitter sa lame des yeux.</w:t>
      </w:r>
      <w:r>
        <w:rPr>
          <w:rFonts w:ascii="Arial" w:cs="Arial" w:eastAsia="Arial" w:hAnsi="Arial"/>
          <w:color w:val="333333"/>
          <w:sz w:val="20"/>
          <w:szCs w:val="20"/>
        </w:rPr>
        <w:t xml:space="preserve"> L’ergonomie doit être pensée pour ça.</w:t>
      </w:r>
    </w:p>
    <w:p>
      <w:pPr>
        <w:pStyle w:val="Heading2"/>
      </w:pPr>
      <w:r>
        <w:rPr>
          <w:rFonts w:ascii="Arial" w:cs="Arial" w:eastAsia="Arial" w:hAnsi="Arial"/>
          <w:b/>
          <w:bCs/>
          <w:color w:val="2AAA8A"/>
          <w:sz w:val="26"/>
          <w:szCs w:val="26"/>
        </w:rPr>
        <w:t xml:space="preserve">8.1 Principes UX</w:t>
      </w:r>
    </w:p>
    <w:p>
      <w:pPr>
        <w:pStyle w:val="ListParagraph"/>
        <w:numPr>
          <w:ilvl w:val="0"/>
          <w:numId w:val="3"/>
        </w:numPr>
        <w:spacing w:after="60"/>
      </w:pPr>
      <w:r>
        <w:rPr>
          <w:rFonts w:ascii="Arial" w:cs="Arial" w:eastAsia="Arial" w:hAnsi="Arial"/>
          <w:b/>
          <w:bCs/>
          <w:color w:val="333333"/>
          <w:sz w:val="20"/>
          <w:szCs w:val="20"/>
        </w:rPr>
        <w:t xml:space="preserve">Zéro friction : </w:t>
      </w:r>
      <w:r>
        <w:rPr>
          <w:rFonts w:ascii="Arial" w:cs="Arial" w:eastAsia="Arial" w:hAnsi="Arial"/>
          <w:color w:val="333333"/>
          <w:sz w:val="20"/>
          <w:szCs w:val="20"/>
        </w:rPr>
        <w:t xml:space="preserve">le praticien ouvre l’app, appuie sur espace, dicte, relâche. Le CR apparaît. Pas de menu, pas de config, pas de clic inutile.</w:t>
      </w:r>
    </w:p>
    <w:p>
      <w:pPr>
        <w:pStyle w:val="ListParagraph"/>
        <w:numPr>
          <w:ilvl w:val="0"/>
          <w:numId w:val="3"/>
        </w:numPr>
        <w:spacing w:after="60"/>
      </w:pPr>
      <w:r>
        <w:rPr>
          <w:rFonts w:ascii="Arial" w:cs="Arial" w:eastAsia="Arial" w:hAnsi="Arial"/>
          <w:b/>
          <w:bCs/>
          <w:color w:val="333333"/>
          <w:sz w:val="20"/>
          <w:szCs w:val="20"/>
        </w:rPr>
        <w:t xml:space="preserve">Split-view : </w:t>
      </w:r>
      <w:r>
        <w:rPr>
          <w:rFonts w:ascii="Arial" w:cs="Arial" w:eastAsia="Arial" w:hAnsi="Arial"/>
          <w:color w:val="333333"/>
          <w:sz w:val="20"/>
          <w:szCs w:val="20"/>
        </w:rPr>
        <w:t xml:space="preserve">transcription brute à gauche, CR formaté à droite. Les deux modifiables. Synchronisation en temps réel n’est PAS nécessaire (le praticien modifie après génération).</w:t>
      </w:r>
    </w:p>
    <w:p>
      <w:pPr>
        <w:pStyle w:val="ListParagraph"/>
        <w:numPr>
          <w:ilvl w:val="0"/>
          <w:numId w:val="3"/>
        </w:numPr>
        <w:spacing w:after="60"/>
      </w:pPr>
      <w:r>
        <w:rPr>
          <w:rFonts w:ascii="Arial" w:cs="Arial" w:eastAsia="Arial" w:hAnsi="Arial"/>
          <w:b/>
          <w:bCs/>
          <w:color w:val="333333"/>
          <w:sz w:val="20"/>
          <w:szCs w:val="20"/>
        </w:rPr>
        <w:t xml:space="preserve">Mode sombre par défaut : </w:t>
      </w:r>
      <w:r>
        <w:rPr>
          <w:rFonts w:ascii="Arial" w:cs="Arial" w:eastAsia="Arial" w:hAnsi="Arial"/>
          <w:color w:val="333333"/>
          <w:sz w:val="20"/>
          <w:szCs w:val="20"/>
        </w:rPr>
        <w:t xml:space="preserve">les pièces de microscopie sont souvent dans la pénombre. Un fond clair est agressif. Proposer le dark mode dès le premier usage.</w:t>
      </w:r>
    </w:p>
    <w:p>
      <w:pPr>
        <w:pStyle w:val="ListParagraph"/>
        <w:numPr>
          <w:ilvl w:val="0"/>
          <w:numId w:val="3"/>
        </w:numPr>
        <w:spacing w:after="60"/>
      </w:pPr>
      <w:r>
        <w:rPr>
          <w:rFonts w:ascii="Arial" w:cs="Arial" w:eastAsia="Arial" w:hAnsi="Arial"/>
          <w:b/>
          <w:bCs/>
          <w:color w:val="333333"/>
          <w:sz w:val="20"/>
          <w:szCs w:val="20"/>
        </w:rPr>
        <w:t xml:space="preserve">Feedback visuel clair : </w:t>
      </w:r>
      <w:r>
        <w:rPr>
          <w:rFonts w:ascii="Arial" w:cs="Arial" w:eastAsia="Arial" w:hAnsi="Arial"/>
          <w:color w:val="333333"/>
          <w:sz w:val="20"/>
          <w:szCs w:val="20"/>
        </w:rPr>
        <w:t xml:space="preserve">indicateur « en cours de transcription », « en cours de génération », « terminé ». Pas de spinner générique — une progression nommée.</w:t>
      </w:r>
    </w:p>
    <w:p>
      <w:pPr>
        <w:pStyle w:val="ListParagraph"/>
        <w:numPr>
          <w:ilvl w:val="0"/>
          <w:numId w:val="3"/>
        </w:numPr>
        <w:spacing w:after="60"/>
      </w:pPr>
      <w:r>
        <w:rPr>
          <w:rFonts w:ascii="Arial" w:cs="Arial" w:eastAsia="Arial" w:hAnsi="Arial"/>
          <w:b/>
          <w:bCs/>
          <w:color w:val="333333"/>
          <w:sz w:val="20"/>
          <w:szCs w:val="20"/>
        </w:rPr>
        <w:t xml:space="preserve">Warnings bien visibles mais non bloquants : </w:t>
      </w:r>
      <w:r>
        <w:rPr>
          <w:rFonts w:ascii="Arial" w:cs="Arial" w:eastAsia="Arial" w:hAnsi="Arial"/>
          <w:color w:val="333333"/>
          <w:sz w:val="20"/>
          <w:szCs w:val="20"/>
        </w:rPr>
        <w:t xml:space="preserve">les alertes de complétude s’affichent en jaune/orange en haut du CR. Le praticien peut les ignorer ou les corriger. JAMAIS bloquer l’export.</w:t>
      </w:r>
    </w:p>
    <w:p>
      <w:pPr>
        <w:pStyle w:val="Heading2"/>
      </w:pPr>
      <w:r>
        <w:rPr>
          <w:rFonts w:ascii="Arial" w:cs="Arial" w:eastAsia="Arial" w:hAnsi="Arial"/>
          <w:b/>
          <w:bCs/>
          <w:color w:val="2AAA8A"/>
          <w:sz w:val="26"/>
          <w:szCs w:val="26"/>
        </w:rPr>
        <w:t xml:space="preserve">8.2 Pages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Page</w:t>
            </w:r>
          </w:p>
        </w:tc>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Contenu</w:t>
            </w:r>
          </w:p>
        </w:tc>
        <w:tc>
          <w:tcPr>
            <w:tcW w:type="dxa" w:w="2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Priorité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/login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Connexion email + mot de passe. Lien « mot de passe oublié ». Lien inscription.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/app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principale : dictaphone + split-view (transcription | CR généré) + boutons export/copier + warnings de complétude.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/history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 des CRs générés. Recherche par mot-clé. Clic → réouvrir dans la vue split. Re-exporter.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/settings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 utilisateur, gestion abonnement (Stripe Customer Portal), préférences (mode sombre, raccourcis clavier).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Consolas, Courier New" w:cs="JetBrains Mono, Consolas, Courier New" w:eastAsia="JetBrains Mono, Consolas, Courier New" w:hAnsi="JetBrains Mono, Consolas, Courier New"/>
                <w:b/>
                <w:bCs/>
                <w:color w:val="333333"/>
                <w:sz w:val="20"/>
                <w:szCs w:val="20"/>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Réservé admin labo : gestion utilisateurs, dashboard d’activité, règles métier personnalisées.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w:t>
            </w:r>
          </w:p>
        </w:tc>
      </w:tr>
    </w:tbl>
    <w:p>
      <w:r>
        <w:br w:type="page"/>
      </w:r>
    </w:p>
    <w:p>
      <w:pPr>
        <w:pStyle w:val="Heading1"/>
      </w:pPr>
      <w:r>
        <w:rPr>
          <w:rFonts w:ascii="Arial" w:cs="Arial" w:eastAsia="Arial" w:hAnsi="Arial"/>
          <w:b/>
          <w:bCs/>
          <w:color w:val="1B4D6E"/>
          <w:sz w:val="34"/>
          <w:szCs w:val="34"/>
        </w:rPr>
        <w:t xml:space="preserve">9. Coûts API détaillés</w:t>
      </w:r>
    </w:p>
    <w:p>
      <w:pPr>
        <w:spacing w:after="100" w:before="0"/>
        <w:jc w:val="both"/>
      </w:pPr>
      <w:r>
        <w:rPr>
          <w:rFonts w:ascii="Arial" w:cs="Arial" w:eastAsia="Arial" w:hAnsi="Arial"/>
          <w:color w:val="333333"/>
          <w:sz w:val="20"/>
          <w:szCs w:val="20"/>
        </w:rPr>
        <w:t xml:space="preserve">Estimation du coût par CR et par mois, en fonction de la stack choisie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Composant</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Prix unitaire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Par CR typique</w:t>
            </w:r>
          </w:p>
        </w:tc>
        <w:tc>
          <w:tcPr>
            <w:tcW w:type="dxa" w:w="21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200 CR/mois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Voxtral Mini (STT)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~0.30 €/min audio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 (30s de dictée)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Sonnet (LLM)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3 €/M input + 15 €/M 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~0.03 € (~1500 tokens)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Opus (LLM, premium)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 input + 75 €/M 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w:t>
            </w:r>
          </w:p>
        </w:tc>
      </w:tr>
      <w:tr>
        <w:tc>
          <w:tcPr>
            <w:tcW w:type="dxa" w:w="2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0"/>
                <w:szCs w:val="20"/>
              </w:rPr>
              <w:t xml:space="preserve">Total (Voxtral + Sonnet)</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0"/>
                <w:szCs w:val="20"/>
              </w:rPr>
              <w:t xml:space="preserve">~0.18 €/CR</w:t>
            </w:r>
          </w:p>
        </w:tc>
        <w:tc>
          <w:tcPr>
            <w:tcW w:type="dxa" w:w="21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0"/>
                <w:szCs w:val="20"/>
              </w:rPr>
              <w:t xml:space="preserve">~36 €/mois</w:t>
            </w:r>
          </w:p>
        </w:tc>
      </w:tr>
    </w:tbl>
    <w:p>
      <w:pPr>
        <w:spacing w:after="0" w:before="60"/>
      </w:pPr>
    </w:p>
    <w:p>
      <w:pPr>
        <w:spacing w:after="100" w:before="0"/>
        <w:jc w:val="both"/>
      </w:pPr>
      <w:r>
        <w:rPr>
          <w:rFonts w:ascii="Arial" w:cs="Arial" w:eastAsia="Arial" w:hAnsi="Arial"/>
          <w:b/>
          <w:bCs/>
          <w:color w:val="333333"/>
          <w:sz w:val="20"/>
          <w:szCs w:val="20"/>
        </w:rPr>
        <w:t xml:space="preserve">Marge sur l’offre Solo (69 €/mois) : </w:t>
      </w:r>
      <w:r>
        <w:rPr>
          <w:rFonts w:ascii="Arial" w:cs="Arial" w:eastAsia="Arial" w:hAnsi="Arial"/>
          <w:color w:val="333333"/>
          <w:sz w:val="20"/>
          <w:szCs w:val="20"/>
        </w:rPr>
        <w:t xml:space="preserve">69 – 36 = 33 € de marge brute (48 %). Avec l’offre Clinique (129 €/mois, illimité → ~400 CR estimés), la marge monte à ~55 %.</w:t>
      </w:r>
    </w:p>
    <w:p>
      <w:pPr>
        <w:spacing w:after="100" w:before="0"/>
        <w:jc w:val="both"/>
      </w:pPr>
      <w:r>
        <w:rPr>
          <w:rFonts w:ascii="Arial" w:cs="Arial" w:eastAsia="Arial" w:hAnsi="Arial"/>
          <w:b/>
          <w:bCs/>
          <w:color w:val="333333"/>
          <w:sz w:val="20"/>
          <w:szCs w:val="20"/>
        </w:rPr>
        <w:t xml:space="preserve">Recommandation : </w:t>
      </w:r>
      <w:r>
        <w:rPr>
          <w:rFonts w:ascii="Arial" w:cs="Arial" w:eastAsia="Arial" w:hAnsi="Arial"/>
          <w:color w:val="333333"/>
          <w:sz w:val="20"/>
          <w:szCs w:val="20"/>
        </w:rPr>
        <w:t xml:space="preserve">commencer avec Claude Sonnet pour tous les clients. Proposer Claude Opus en option premium si un labo veut le maximum de qualité sur des cas complexes.</w:t>
      </w:r>
    </w:p>
    <w:p>
      <w:pPr>
        <w:spacing w:after="0" w:before="40"/>
      </w:pP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Anthropic API Pricing — https://docs.anthropic.com/en/docs/about-claude/models</w:t>
      </w:r>
    </w:p>
    <w:p>
      <w:pPr>
        <w:spacing w:after="40"/>
      </w:pPr>
      <w:r>
        <w:rPr>
          <w:rFonts w:ascii="Arial" w:cs="Arial" w:eastAsia="Arial" w:hAnsi="Arial"/>
          <w:color w:val="777777"/>
          <w:sz w:val="18"/>
          <w:szCs w:val="18"/>
        </w:rPr>
        <w:t xml:space="preserve">→ </w:t>
      </w:r>
      <w:r>
        <w:rPr>
          <w:rFonts w:ascii="Arial" w:cs="Arial" w:eastAsia="Arial" w:hAnsi="Arial"/>
          <w:i/>
          <w:iCs/>
          <w:color w:val="777777"/>
          <w:sz w:val="18"/>
          <w:szCs w:val="18"/>
        </w:rPr>
        <w:t xml:space="preserve">Mistral API Pricing — https://mistral.ai/products/la-plateforme#pricing</w:t>
      </w:r>
    </w:p>
    <w:p>
      <w:r>
        <w:br w:type="page"/>
      </w:r>
    </w:p>
    <w:p>
      <w:pPr>
        <w:pStyle w:val="Heading1"/>
      </w:pPr>
      <w:r>
        <w:rPr>
          <w:rFonts w:ascii="Arial" w:cs="Arial" w:eastAsia="Arial" w:hAnsi="Arial"/>
          <w:b/>
          <w:bCs/>
          <w:color w:val="1B4D6E"/>
          <w:sz w:val="34"/>
          <w:szCs w:val="34"/>
        </w:rPr>
        <w:t xml:space="preserve">10. Ce qu’on ne fait PAS (périmètre exclus)</w:t>
      </w:r>
    </w:p>
    <w:p>
      <w:pPr>
        <w:spacing w:after="100" w:before="0"/>
        <w:jc w:val="both"/>
      </w:pPr>
      <w:r>
        <w:rPr>
          <w:rFonts w:ascii="Arial" w:cs="Arial" w:eastAsia="Arial" w:hAnsi="Arial"/>
          <w:color w:val="333333"/>
          <w:sz w:val="20"/>
          <w:szCs w:val="20"/>
        </w:rPr>
        <w:t xml:space="preserve">Pour éviter toute confusion, voici ce qui est explicitement HORS du périmètre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Hors périmètre</w:t>
            </w:r>
          </w:p>
        </w:tc>
        <w:tc>
          <w:tcPr>
            <w:tcW w:type="dxa" w:w="5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JetBrains Mono, Consolas, Arial" w:cs="JetBrains Mono, Consolas, Arial" w:eastAsia="JetBrains Mono, Consolas, Arial" w:hAnsi="JetBrains Mono, Consolas, Arial"/>
                <w:b/>
                <w:bCs/>
                <w:color w:val="FFFFFF"/>
                <w:sz w:val="19"/>
                <w:szCs w:val="19"/>
              </w:rPr>
              <w:t xml:space="preserve">Pourquoi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Analyse d’images de lames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C’est de l’IA diagnostic (dispositif médical, marquage CE). On ne touche pas aux images.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Gestion du dossier patient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C’est le rôle du logiciel métier (DIAMIC, Glims, etc.). On génère le CR, le praticien le colle dans son logiciel.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Renseignements cliniques (contexte du patient)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ne gère pas les antécédents, traitements, motif de consultation. Si le praticien les dicte, on les met dans la section « Renseignements cliniques », mais on ne les interprète pas.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Fine-tuning de modèles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fonctionne en few-shot prompting uniquement. Pas de collecte massive de données pour entraîner un modèle. Pas de LoRA, pas de RLHF.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Hébergement HDS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Notre architecture anonymisée rend le HDS inutile. Si un client l’exige (CHU), option Azure OpenAI HDS, mais pas pour la cible principale.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Application mobile native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L’app web responsive suffit. Les praticiens sont à leur bureau/microscope, pas sur mobile.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Marquage CE / certification DM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Notre positionnement « aide à la rédaction » nous en exempte. Si on décide un jour d’aller vers le diagnostic assisté, il faudra reconsidérer.</w:t>
            </w:r>
          </w:p>
        </w:tc>
      </w:tr>
    </w:tbl>
    <w:p>
      <w:r>
        <w:br w:type="page"/>
      </w:r>
    </w:p>
    <w:p>
      <w:pPr>
        <w:pStyle w:val="Heading1"/>
      </w:pPr>
      <w:r>
        <w:rPr>
          <w:rFonts w:ascii="Arial" w:cs="Arial" w:eastAsia="Arial" w:hAnsi="Arial"/>
          <w:b/>
          <w:bCs/>
          <w:color w:val="1B4D6E"/>
          <w:sz w:val="34"/>
          <w:szCs w:val="34"/>
        </w:rPr>
        <w:t xml:space="preserve">11. Résumé des actions dev</w:t>
      </w:r>
    </w:p>
    <w:p>
      <w:pPr>
        <w:spacing w:after="100" w:before="0"/>
        <w:jc w:val="both"/>
      </w:pPr>
      <w:r>
        <w:rPr>
          <w:rFonts w:ascii="Arial" w:cs="Arial" w:eastAsia="Arial" w:hAnsi="Arial"/>
          <w:b/>
          <w:bCs/>
          <w:color w:val="333333"/>
          <w:sz w:val="20"/>
          <w:szCs w:val="20"/>
        </w:rPr>
        <w:t xml:space="preserve">Checklist de tout ce qui doit être fait, dans l’ordre :</w:t>
      </w:r>
    </w:p>
    <w:p>
      <w:pPr>
        <w:spacing w:after="0" w:before="40"/>
      </w:pPr>
    </w:p>
    <w:p>
      <w:pPr>
        <w:pStyle w:val="Heading2"/>
      </w:pPr>
      <w:r>
        <w:rPr>
          <w:rFonts w:ascii="Arial" w:cs="Arial" w:eastAsia="Arial" w:hAnsi="Arial"/>
          <w:b/>
          <w:bCs/>
          <w:color w:val="2AAA8A"/>
          <w:sz w:val="26"/>
          <w:szCs w:val="26"/>
        </w:rPr>
        <w:t xml:space="preserve">Sprint 1 — Fondations (2 semaines)</w:t>
      </w:r>
    </w:p>
    <w:p>
      <w:pPr>
        <w:pStyle w:val="ListParagraph"/>
        <w:numPr>
          <w:ilvl w:val="0"/>
          <w:numId w:val="2"/>
        </w:numPr>
        <w:spacing w:after="60"/>
      </w:pPr>
      <w:r>
        <w:rPr>
          <w:rFonts w:ascii="Arial" w:cs="Arial" w:eastAsia="Arial" w:hAnsi="Arial"/>
          <w:color w:val="333333"/>
          <w:sz w:val="20"/>
          <w:szCs w:val="20"/>
        </w:rPr>
        <w:t xml:space="preserve">Migrer le LLM de Mistral Large vers Claude (SDK Anthropic, adapter le prompt).</w:t>
      </w:r>
    </w:p>
    <w:p>
      <w:pPr>
        <w:pStyle w:val="ListParagraph"/>
        <w:numPr>
          <w:ilvl w:val="0"/>
          <w:numId w:val="2"/>
        </w:numPr>
        <w:spacing w:after="60"/>
      </w:pPr>
      <w:r>
        <w:rPr>
          <w:rFonts w:ascii="Arial" w:cs="Arial" w:eastAsia="Arial" w:hAnsi="Arial"/>
          <w:color w:val="333333"/>
          <w:sz w:val="20"/>
          <w:szCs w:val="20"/>
        </w:rPr>
        <w:t xml:space="preserve">Ajouter PostgreSQL + SQLAlchemy + Alembic. Créer les tables users, organizations, reports, audit_log.</w:t>
      </w:r>
    </w:p>
    <w:p>
      <w:pPr>
        <w:pStyle w:val="ListParagraph"/>
        <w:numPr>
          <w:ilvl w:val="0"/>
          <w:numId w:val="2"/>
        </w:numPr>
        <w:spacing w:after="60"/>
      </w:pPr>
      <w:r>
        <w:rPr>
          <w:rFonts w:ascii="Arial" w:cs="Arial" w:eastAsia="Arial" w:hAnsi="Arial"/>
          <w:color w:val="333333"/>
          <w:sz w:val="20"/>
          <w:szCs w:val="20"/>
        </w:rPr>
        <w:t xml:space="preserve">Implémenter l’authentification JWT (inscription, login, refresh token, reset password).</w:t>
      </w:r>
    </w:p>
    <w:p>
      <w:pPr>
        <w:pStyle w:val="ListParagraph"/>
        <w:numPr>
          <w:ilvl w:val="0"/>
          <w:numId w:val="2"/>
        </w:numPr>
        <w:spacing w:after="60"/>
      </w:pPr>
      <w:r>
        <w:rPr>
          <w:rFonts w:ascii="Arial" w:cs="Arial" w:eastAsia="Arial" w:hAnsi="Arial"/>
          <w:color w:val="333333"/>
          <w:sz w:val="20"/>
          <w:szCs w:val="20"/>
        </w:rPr>
        <w:t xml:space="preserve">Implémenter la sanitization automatique (regex + spaCy NER) entre le STT et le LLM.</w:t>
      </w:r>
    </w:p>
    <w:p>
      <w:pPr>
        <w:pStyle w:val="Heading2"/>
      </w:pPr>
      <w:r>
        <w:rPr>
          <w:rFonts w:ascii="Arial" w:cs="Arial" w:eastAsia="Arial" w:hAnsi="Arial"/>
          <w:b/>
          <w:bCs/>
          <w:color w:val="2AAA8A"/>
          <w:sz w:val="26"/>
          <w:szCs w:val="26"/>
        </w:rPr>
        <w:t xml:space="preserve">Sprint 2 — Produit (2 semaines)</w:t>
      </w:r>
    </w:p>
    <w:p>
      <w:pPr>
        <w:pStyle w:val="ListParagraph"/>
        <w:numPr>
          <w:ilvl w:val="0"/>
          <w:numId w:val="2"/>
        </w:numPr>
        <w:spacing w:after="60"/>
      </w:pPr>
      <w:r>
        <w:rPr>
          <w:rFonts w:ascii="Arial" w:cs="Arial" w:eastAsia="Arial" w:hAnsi="Arial"/>
          <w:color w:val="333333"/>
          <w:sz w:val="20"/>
          <w:szCs w:val="20"/>
        </w:rPr>
        <w:t xml:space="preserve">Implémenter la vérification de complétude (sections manquantes, cohérence sites/conclusions, négations).</w:t>
      </w:r>
    </w:p>
    <w:p>
      <w:pPr>
        <w:pStyle w:val="ListParagraph"/>
        <w:numPr>
          <w:ilvl w:val="0"/>
          <w:numId w:val="2"/>
        </w:numPr>
        <w:spacing w:after="60"/>
      </w:pPr>
      <w:r>
        <w:rPr>
          <w:rFonts w:ascii="Arial" w:cs="Arial" w:eastAsia="Arial" w:hAnsi="Arial"/>
          <w:color w:val="333333"/>
          <w:sz w:val="20"/>
          <w:szCs w:val="20"/>
        </w:rPr>
        <w:t xml:space="preserve">Implémenter l’historique des CRs (liste, recherche, réouverture, re-export).</w:t>
      </w:r>
    </w:p>
    <w:p>
      <w:pPr>
        <w:pStyle w:val="ListParagraph"/>
        <w:numPr>
          <w:ilvl w:val="0"/>
          <w:numId w:val="2"/>
        </w:numPr>
        <w:spacing w:after="60"/>
      </w:pPr>
      <w:r>
        <w:rPr>
          <w:rFonts w:ascii="Arial" w:cs="Arial" w:eastAsia="Arial" w:hAnsi="Arial"/>
          <w:color w:val="333333"/>
          <w:sz w:val="20"/>
          <w:szCs w:val="20"/>
        </w:rPr>
        <w:t xml:space="preserve">Améliorer l’export Word (formatage complet : titres gras/souligné/MAJUSCULES, tableaux IHC, conclusion gras).</w:t>
      </w:r>
    </w:p>
    <w:p>
      <w:pPr>
        <w:pStyle w:val="ListParagraph"/>
        <w:numPr>
          <w:ilvl w:val="0"/>
          <w:numId w:val="2"/>
        </w:numPr>
        <w:spacing w:after="60"/>
      </w:pPr>
      <w:r>
        <w:rPr>
          <w:rFonts w:ascii="Arial" w:cs="Arial" w:eastAsia="Arial" w:hAnsi="Arial"/>
          <w:color w:val="333333"/>
          <w:sz w:val="20"/>
          <w:szCs w:val="20"/>
        </w:rPr>
        <w:t xml:space="preserve">Intégrer Stripe (Checkout, webhooks, plans Solo/Clinique/Labo).</w:t>
      </w:r>
    </w:p>
    <w:p>
      <w:pPr>
        <w:pStyle w:val="Heading2"/>
      </w:pPr>
      <w:r>
        <w:rPr>
          <w:rFonts w:ascii="Arial" w:cs="Arial" w:eastAsia="Arial" w:hAnsi="Arial"/>
          <w:b/>
          <w:bCs/>
          <w:color w:val="2AAA8A"/>
          <w:sz w:val="26"/>
          <w:szCs w:val="26"/>
        </w:rPr>
        <w:t xml:space="preserve">Sprint 3 — UX &amp; polish (1 semaine)</w:t>
      </w:r>
    </w:p>
    <w:p>
      <w:pPr>
        <w:pStyle w:val="ListParagraph"/>
        <w:numPr>
          <w:ilvl w:val="0"/>
          <w:numId w:val="2"/>
        </w:numPr>
        <w:spacing w:after="60"/>
      </w:pPr>
      <w:r>
        <w:rPr>
          <w:rFonts w:ascii="Arial" w:cs="Arial" w:eastAsia="Arial" w:hAnsi="Arial"/>
          <w:color w:val="333333"/>
          <w:sz w:val="20"/>
          <w:szCs w:val="20"/>
        </w:rPr>
        <w:t xml:space="preserve">Redesign UI avec shadcn/ui + Tailwind. Mode sombre. Responsive.</w:t>
      </w:r>
    </w:p>
    <w:p>
      <w:pPr>
        <w:pStyle w:val="ListParagraph"/>
        <w:numPr>
          <w:ilvl w:val="0"/>
          <w:numId w:val="2"/>
        </w:numPr>
        <w:spacing w:after="60"/>
      </w:pPr>
      <w:r>
        <w:rPr>
          <w:rFonts w:ascii="Arial" w:cs="Arial" w:eastAsia="Arial" w:hAnsi="Arial"/>
          <w:color w:val="333333"/>
          <w:sz w:val="20"/>
          <w:szCs w:val="20"/>
        </w:rPr>
        <w:t xml:space="preserve">Onboarding premier lancement (tutoriel 3 étapes).</w:t>
      </w:r>
    </w:p>
    <w:p>
      <w:pPr>
        <w:pStyle w:val="ListParagraph"/>
        <w:numPr>
          <w:ilvl w:val="0"/>
          <w:numId w:val="2"/>
        </w:numPr>
        <w:spacing w:after="60"/>
      </w:pPr>
      <w:r>
        <w:rPr>
          <w:rFonts w:ascii="Arial" w:cs="Arial" w:eastAsia="Arial" w:hAnsi="Arial"/>
          <w:color w:val="333333"/>
          <w:sz w:val="20"/>
          <w:szCs w:val="20"/>
        </w:rPr>
        <w:t xml:space="preserve">Page settings (profil, abonnement, préférences).</w:t>
      </w:r>
    </w:p>
    <w:p>
      <w:pPr>
        <w:pStyle w:val="ListParagraph"/>
        <w:numPr>
          <w:ilvl w:val="0"/>
          <w:numId w:val="2"/>
        </w:numPr>
        <w:spacing w:after="60"/>
      </w:pPr>
      <w:r>
        <w:rPr>
          <w:rFonts w:ascii="Arial" w:cs="Arial" w:eastAsia="Arial" w:hAnsi="Arial"/>
          <w:color w:val="333333"/>
          <w:sz w:val="20"/>
          <w:szCs w:val="20"/>
        </w:rPr>
        <w:t xml:space="preserve">Logs d’audit complets pour conformité ISO 15189.</w:t>
      </w:r>
    </w:p>
    <w:p>
      <w:pPr>
        <w:pStyle w:val="Heading2"/>
      </w:pPr>
      <w:r>
        <w:rPr>
          <w:rFonts w:ascii="Arial" w:cs="Arial" w:eastAsia="Arial" w:hAnsi="Arial"/>
          <w:b/>
          <w:bCs/>
          <w:color w:val="2AAA8A"/>
          <w:sz w:val="26"/>
          <w:szCs w:val="26"/>
        </w:rPr>
        <w:t xml:space="preserve">Sprint 4 — Lancement (1 semaine)</w:t>
      </w:r>
    </w:p>
    <w:p>
      <w:pPr>
        <w:pStyle w:val="ListParagraph"/>
        <w:numPr>
          <w:ilvl w:val="0"/>
          <w:numId w:val="2"/>
        </w:numPr>
        <w:spacing w:after="60"/>
      </w:pPr>
      <w:r>
        <w:rPr>
          <w:rFonts w:ascii="Arial" w:cs="Arial" w:eastAsia="Arial" w:hAnsi="Arial"/>
          <w:color w:val="333333"/>
          <w:sz w:val="20"/>
          <w:szCs w:val="20"/>
        </w:rPr>
        <w:t xml:space="preserve">Déploiement production (serveur + BDD + domaine + HTTPS).</w:t>
      </w:r>
    </w:p>
    <w:p>
      <w:pPr>
        <w:pStyle w:val="ListParagraph"/>
        <w:numPr>
          <w:ilvl w:val="0"/>
          <w:numId w:val="2"/>
        </w:numPr>
        <w:spacing w:after="60"/>
      </w:pPr>
      <w:r>
        <w:rPr>
          <w:rFonts w:ascii="Arial" w:cs="Arial" w:eastAsia="Arial" w:hAnsi="Arial"/>
          <w:color w:val="333333"/>
          <w:sz w:val="20"/>
          <w:szCs w:val="20"/>
        </w:rPr>
        <w:t xml:space="preserve">Tests de charge (100 utilisateurs simultanés).</w:t>
      </w:r>
    </w:p>
    <w:p>
      <w:pPr>
        <w:pStyle w:val="ListParagraph"/>
        <w:numPr>
          <w:ilvl w:val="0"/>
          <w:numId w:val="2"/>
        </w:numPr>
        <w:spacing w:after="60"/>
      </w:pPr>
      <w:r>
        <w:rPr>
          <w:rFonts w:ascii="Arial" w:cs="Arial" w:eastAsia="Arial" w:hAnsi="Arial"/>
          <w:color w:val="333333"/>
          <w:sz w:val="20"/>
          <w:szCs w:val="20"/>
        </w:rPr>
        <w:t xml:space="preserve">Documentation API interne.</w:t>
      </w:r>
    </w:p>
    <w:p>
      <w:pPr>
        <w:pStyle w:val="ListParagraph"/>
        <w:numPr>
          <w:ilvl w:val="0"/>
          <w:numId w:val="2"/>
        </w:numPr>
        <w:spacing w:after="60"/>
      </w:pPr>
      <w:r>
        <w:rPr>
          <w:rFonts w:ascii="Arial" w:cs="Arial" w:eastAsia="Arial" w:hAnsi="Arial"/>
          <w:color w:val="333333"/>
          <w:sz w:val="20"/>
          <w:szCs w:val="20"/>
        </w:rPr>
        <w:t xml:space="preserve">Landing page (site marketing).</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AA8A" w:sz="3"/>
              <w:left w:val="single" w:color="2AAA8A" w:sz="3"/>
              <w:bottom w:val="single" w:color="2AAA8A" w:sz="3"/>
              <w:right w:val="single" w:color="2AAA8A" w:sz="3"/>
            </w:tcBorders>
            <w:shd w:fill="E6F5F1" w:val="clear"/>
            <w:tcMar>
              <w:top w:type="dxa" w:w="200"/>
              <w:left w:type="dxa" w:w="300"/>
              <w:bottom w:type="dxa" w:w="200"/>
              <w:right w:type="dxa" w:w="300"/>
            </w:tcMar>
          </w:tcPr>
          <w:p>
            <w:pPr>
              <w:spacing w:after="120"/>
              <w:jc w:val="center"/>
            </w:pPr>
            <w:r>
              <w:rPr>
                <w:rFonts w:ascii="Arial" w:cs="Arial" w:eastAsia="Arial" w:hAnsi="Arial"/>
                <w:b/>
                <w:bCs/>
                <w:color w:val="1B4D6E"/>
                <w:sz w:val="28"/>
                <w:szCs w:val="28"/>
              </w:rPr>
              <w:t xml:space="preserve">Timeline estimée : 6 semaines pour le MVP complet</w:t>
            </w:r>
          </w:p>
          <w:p>
            <w:pPr>
              <w:spacing w:after="80"/>
            </w:pPr>
            <w:r>
              <w:rPr>
                <w:rFonts w:ascii="Arial" w:cs="Arial" w:eastAsia="Arial" w:hAnsi="Arial"/>
                <w:color w:val="333333"/>
                <w:sz w:val="20"/>
                <w:szCs w:val="20"/>
              </w:rPr>
              <w:t xml:space="preserve">La démo existante couvre déjà ~40 % du MVP (dictée, STT, génération CR, export Word basique). Les ajouts principaux : auth, BDD, sanitization, complétude, historique, Stripe, migration Claude, UX.</w:t>
            </w:r>
          </w:p>
          <w:p>
            <w:pPr>
              <w:spacing w:after="0"/>
            </w:pPr>
            <w:r>
              <w:rPr>
                <w:rFonts w:ascii="Arial" w:cs="Arial" w:eastAsia="Arial" w:hAnsi="Arial"/>
                <w:b/>
                <w:bCs/>
                <w:color w:val="333333"/>
                <w:sz w:val="20"/>
                <w:szCs w:val="20"/>
              </w:rPr>
              <w:t xml:space="preserve">Stack : </w:t>
            </w:r>
            <w:r>
              <w:rPr>
                <w:rFonts w:ascii="Arial" w:cs="Arial" w:eastAsia="Arial" w:hAnsi="Arial"/>
                <w:color w:val="333333"/>
                <w:sz w:val="20"/>
                <w:szCs w:val="20"/>
              </w:rPr>
              <w:t xml:space="preserve">React 19 / TypeScript / Vite / shadcn + FastAPI / Python 3.11 / PostgreSQL / Claude (Anthropic) / Voxtral Mini (Mistral) / Stripe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77777"/>
        <w:sz w:val="16"/>
        <w:szCs w:val="16"/>
      </w:rPr>
      <w:t xml:space="preserve">Anapath AI — 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E"/>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AAA8A"/>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B4D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2026-04-06T14:50:42.900Z</dcterms:created>
  <dcterms:modified xsi:type="dcterms:W3CDTF">2026-04-06T14:50:42.900Z</dcterms:modified>
</cp:coreProperties>
</file>

<file path=docProps/custom.xml><?xml version="1.0" encoding="utf-8"?>
<Properties xmlns="http://schemas.openxmlformats.org/officeDocument/2006/custom-properties" xmlns:vt="http://schemas.openxmlformats.org/officeDocument/2006/docPropsVTypes"/>
</file>