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nl-NL" w:eastAsia="en-US"/>
        </w:rPr>
        <w:id w:val="42453742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7436A">
            <w:sdt>
              <w:sdtPr>
                <w:rPr>
                  <w:rFonts w:asciiTheme="majorHAnsi" w:eastAsiaTheme="majorEastAsia" w:hAnsiTheme="majorHAnsi" w:cstheme="majorBidi"/>
                  <w:lang w:val="nl-NL" w:eastAsia="en-US"/>
                </w:rPr>
                <w:alias w:val="Company"/>
                <w:id w:val="13406915"/>
                <w:placeholder>
                  <w:docPart w:val="CDFE11FADAD6405B97CC02D63D438CB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7436A" w:rsidRDefault="000D2E7A" w:rsidP="000D2E7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nl-NL" w:eastAsia="en-US"/>
                      </w:rPr>
                      <w:t>Hanzehogeschool Groningen</w:t>
                    </w:r>
                  </w:p>
                </w:tc>
              </w:sdtContent>
            </w:sdt>
          </w:tr>
          <w:tr w:rsidR="0097436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nl-NL"/>
                  </w:rPr>
                  <w:alias w:val="Title"/>
                  <w:id w:val="13406919"/>
                  <w:placeholder>
                    <w:docPart w:val="FE7EE8ABB305475791752F7795FB60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7436A" w:rsidRDefault="000D2E7A" w:rsidP="000D2E7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nl-NL"/>
                      </w:rPr>
                      <w:t>Statistiek</w:t>
                    </w:r>
                  </w:p>
                </w:sdtContent>
              </w:sdt>
            </w:tc>
          </w:tr>
          <w:tr w:rsidR="0097436A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98A9CD615CC4AF494E067407A58F22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7436A" w:rsidRDefault="000A6B83" w:rsidP="000D2E7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Week 3</w:t>
                    </w:r>
                  </w:p>
                </w:tc>
              </w:sdtContent>
            </w:sdt>
          </w:tr>
        </w:tbl>
        <w:p w:rsidR="0097436A" w:rsidRDefault="0097436A"/>
        <w:p w:rsidR="0097436A" w:rsidRDefault="0097436A"/>
        <w:tbl>
          <w:tblPr>
            <w:tblpPr w:leftFromText="187" w:rightFromText="187" w:horzAnchor="margin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97436A" w:rsidRPr="0097436A" w:rsidTr="0097436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hAnsiTheme="majorHAnsi"/>
                    <w:color w:val="4F81BD" w:themeColor="accent1"/>
                    <w:lang w:val="nl-NL"/>
                  </w:rPr>
                  <w:alias w:val="Author"/>
                  <w:id w:val="13406928"/>
                  <w:placeholder>
                    <w:docPart w:val="46B72A50DE0E40BABE001B355A1D0E7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7436A" w:rsidRPr="0097436A" w:rsidRDefault="0097436A">
                    <w:pPr>
                      <w:pStyle w:val="NoSpacing"/>
                      <w:rPr>
                        <w:rFonts w:asciiTheme="majorHAnsi" w:hAnsiTheme="majorHAnsi"/>
                        <w:color w:val="4F81BD" w:themeColor="accent1"/>
                        <w:lang w:val="nl-NL"/>
                      </w:rPr>
                    </w:pPr>
                    <w:r w:rsidRPr="0097436A">
                      <w:rPr>
                        <w:rFonts w:asciiTheme="majorHAnsi" w:hAnsiTheme="majorHAnsi"/>
                        <w:color w:val="4F81BD" w:themeColor="accent1"/>
                        <w:lang w:val="nl-NL"/>
                      </w:rPr>
                      <w:t>Studenten: Martine Dambrink (326694) en Caroline Lu (316187)</w:t>
                    </w:r>
                  </w:p>
                </w:sdtContent>
              </w:sdt>
              <w:sdt>
                <w:sdtPr>
                  <w:rPr>
                    <w:rFonts w:asciiTheme="majorHAnsi" w:hAnsiTheme="maj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5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7436A" w:rsidRPr="0097436A" w:rsidRDefault="000A6B83" w:rsidP="00D740C4">
                    <w:pPr>
                      <w:pStyle w:val="NoSpacing"/>
                      <w:rPr>
                        <w:rFonts w:asciiTheme="majorHAnsi" w:hAnsiTheme="majorHAnsi"/>
                        <w:color w:val="4F81BD" w:themeColor="accent1"/>
                      </w:rPr>
                    </w:pPr>
                    <w:r>
                      <w:rPr>
                        <w:rFonts w:asciiTheme="majorHAnsi" w:hAnsiTheme="majorHAnsi"/>
                        <w:color w:val="4F81BD" w:themeColor="accent1"/>
                      </w:rPr>
                      <w:t>5/28/2015</w:t>
                    </w:r>
                  </w:p>
                </w:sdtContent>
              </w:sdt>
              <w:p w:rsidR="0097436A" w:rsidRPr="00D740C4" w:rsidRDefault="0097436A" w:rsidP="0097436A">
                <w:pPr>
                  <w:pStyle w:val="NoSpacing"/>
                  <w:rPr>
                    <w:rFonts w:ascii="Calibri" w:hAnsi="Calibri"/>
                    <w:color w:val="4F81BD" w:themeColor="accent1"/>
                  </w:rPr>
                </w:pPr>
                <m:oMathPara>
                  <m:oMathParaPr>
                    <m:jc m:val="left"/>
                  </m:oMathParaP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4F81BD" w:themeColor="accent1"/>
                      </w:rPr>
                      <m:t>Klas:PIV1D</m:t>
                    </m:r>
                  </m:oMath>
                </m:oMathPara>
              </w:p>
            </w:tc>
          </w:tr>
        </w:tbl>
        <w:p w:rsidR="0097436A" w:rsidRPr="0097436A" w:rsidRDefault="0097436A">
          <w:pPr>
            <w:rPr>
              <w:lang w:val="en-US"/>
            </w:rPr>
          </w:pPr>
        </w:p>
        <w:p w:rsidR="0097436A" w:rsidRDefault="0097436A">
          <w:pPr>
            <w:rPr>
              <w:rFonts w:asciiTheme="majorHAnsi" w:eastAsiaTheme="majorEastAsia" w:hAnsiTheme="majorHAnsi" w:cstheme="majorBidi"/>
              <w:caps/>
              <w:lang w:val="en-US" w:eastAsia="ja-JP"/>
            </w:rPr>
          </w:pPr>
          <w:r>
            <w:rPr>
              <w:b/>
              <w:bCs/>
              <w:caps/>
              <w:lang w:val="en-US" w:eastAsia="ja-JP"/>
            </w:rPr>
            <w:br w:type="page"/>
          </w:r>
        </w:p>
      </w:sdtContent>
    </w:sdt>
    <w:p w:rsidR="00D74939" w:rsidRPr="00605849" w:rsidRDefault="00D74939" w:rsidP="00D74939">
      <w:pPr>
        <w:pStyle w:val="Heading1"/>
      </w:pPr>
      <w:r w:rsidRPr="00605849">
        <w:lastRenderedPageBreak/>
        <w:t>OPDRACHT 3 (maatstaven voor spreiding)</w:t>
      </w:r>
    </w:p>
    <w:p w:rsidR="00D74939" w:rsidRDefault="00D74939" w:rsidP="00D74939">
      <w:pPr>
        <w:pStyle w:val="Heading2"/>
      </w:pPr>
      <w:r>
        <w:t xml:space="preserve">Opdracht 3.1 </w:t>
      </w:r>
      <w:r w:rsidR="00E850AE">
        <w:t>- C</w:t>
      </w:r>
      <w:r w:rsidR="00C013F2">
        <w:t>aroline</w:t>
      </w:r>
    </w:p>
    <w:p w:rsidR="00D74939" w:rsidRDefault="00D74939" w:rsidP="00D74939">
      <w:pPr>
        <w:spacing w:after="0"/>
      </w:pPr>
      <w:r>
        <w:t>Bestudeer  in de syllabus Buijs de spreidingsbreedte. Bestand WINKELS.  Bepaal de spreidingsbreedte van de “winst92” en leg uit hoe je het resultaat gevonden hebt.</w:t>
      </w:r>
    </w:p>
    <w:p w:rsidR="00D74939" w:rsidRDefault="00D74939" w:rsidP="00D74939">
      <w:pPr>
        <w:spacing w:after="0"/>
      </w:pPr>
    </w:p>
    <w:p w:rsidR="00D74939" w:rsidRDefault="00D74939" w:rsidP="00D74939">
      <w:pPr>
        <w:spacing w:after="0"/>
      </w:pPr>
    </w:p>
    <w:p w:rsidR="00D74939" w:rsidRDefault="00D74939" w:rsidP="00D74939">
      <w:pPr>
        <w:pStyle w:val="Heading2"/>
      </w:pPr>
      <w:r>
        <w:t xml:space="preserve">Opdracht </w:t>
      </w:r>
      <w:r w:rsidRPr="00885E14">
        <w:t>3.</w:t>
      </w:r>
      <w:r>
        <w:t>2</w:t>
      </w:r>
      <w:r w:rsidRPr="00885E14">
        <w:t xml:space="preserve"> </w:t>
      </w:r>
      <w:r w:rsidR="00E850AE">
        <w:t>- C</w:t>
      </w:r>
      <w:r w:rsidR="00C013F2">
        <w:t>aroline</w:t>
      </w:r>
    </w:p>
    <w:p w:rsidR="00D74939" w:rsidRDefault="00D74939" w:rsidP="00D74939">
      <w:pPr>
        <w:spacing w:after="0"/>
      </w:pPr>
      <w:r w:rsidRPr="001473EC">
        <w:t xml:space="preserve">Bestudeer  in de syllabus Buijs de </w:t>
      </w:r>
      <w:r>
        <w:t>gemiddelde absolute afwijking</w:t>
      </w:r>
      <w:r w:rsidRPr="001473EC">
        <w:t xml:space="preserve">. </w:t>
      </w:r>
      <w:r w:rsidRPr="00885E14">
        <w:t xml:space="preserve">Bestand WINKELS.  </w:t>
      </w:r>
      <w:r>
        <w:t xml:space="preserve">Neem de eerste 10 omzetten in 1991. Bepaal daarvan het gemiddelde. Plaats naast die eerste 10 omzetten de absolute afwijking van hun gemiddelde.  Bepaal vervolgens de </w:t>
      </w:r>
      <w:r w:rsidRPr="00885E14">
        <w:t xml:space="preserve">GAA  </w:t>
      </w:r>
      <w:r>
        <w:t xml:space="preserve">van de eerste 10 omzetten. </w:t>
      </w:r>
      <w:r w:rsidRPr="00885E14">
        <w:t xml:space="preserve"> </w:t>
      </w:r>
      <w:r>
        <w:t xml:space="preserve">Zoek daarna in Excel  de formule voor de GAA  en vergelijk daarmee je antwoord.  </w:t>
      </w:r>
    </w:p>
    <w:p w:rsidR="00D74939" w:rsidRDefault="00D74939" w:rsidP="00D74939">
      <w:pPr>
        <w:spacing w:after="0"/>
      </w:pPr>
    </w:p>
    <w:p w:rsidR="00D74939" w:rsidRDefault="00D74939" w:rsidP="00D74939">
      <w:pPr>
        <w:spacing w:after="0"/>
      </w:pPr>
    </w:p>
    <w:p w:rsidR="007068EC" w:rsidRDefault="007068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068EC" w:rsidRDefault="007068E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74939" w:rsidRDefault="00D74939" w:rsidP="00D74939">
      <w:pPr>
        <w:pStyle w:val="Heading2"/>
      </w:pPr>
      <w:r>
        <w:lastRenderedPageBreak/>
        <w:t>Opdracht 3.3</w:t>
      </w:r>
      <w:r w:rsidR="00E850AE">
        <w:t xml:space="preserve"> - M</w:t>
      </w:r>
      <w:r w:rsidR="00C013F2">
        <w:t>artine</w:t>
      </w:r>
    </w:p>
    <w:p w:rsidR="007068EC" w:rsidRDefault="00D74939" w:rsidP="007068EC">
      <w:pPr>
        <w:spacing w:after="0"/>
      </w:pPr>
      <w:r>
        <w:t>Bepaal nu in de dataset BANKIE</w:t>
      </w:r>
      <w:r w:rsidR="007068EC">
        <w:t xml:space="preserve">RS de GAA van alle leeftijden. </w:t>
      </w:r>
    </w:p>
    <w:p w:rsidR="007068EC" w:rsidRDefault="007068EC" w:rsidP="007068EC">
      <w:pPr>
        <w:spacing w:after="0"/>
      </w:pPr>
    </w:p>
    <w:p w:rsidR="007068EC" w:rsidRPr="007068EC" w:rsidRDefault="007068EC" w:rsidP="007068EC">
      <w:pPr>
        <w:spacing w:after="0"/>
        <w:sectPr w:rsidR="007068EC" w:rsidRPr="007068EC" w:rsidSect="0097436A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tbl>
      <w:tblPr>
        <w:tblW w:w="2296" w:type="dxa"/>
        <w:tblInd w:w="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"/>
        <w:gridCol w:w="541"/>
        <w:gridCol w:w="580"/>
        <w:gridCol w:w="834"/>
      </w:tblGrid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lastRenderedPageBreak/>
              <w:t>#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x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x-</w:t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drawing>
                <wp:inline distT="0" distB="0" distL="0" distR="0" wp14:anchorId="5E97ECF2" wp14:editId="0569DAE2">
                  <wp:extent cx="123825" cy="148590"/>
                  <wp:effectExtent l="0" t="0" r="9525" b="3810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|x-</w:t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drawing>
                <wp:inline distT="0" distB="0" distL="0" distR="0" wp14:anchorId="5E97ECF2" wp14:editId="0569DAE2">
                  <wp:extent cx="123825" cy="148590"/>
                  <wp:effectExtent l="0" t="0" r="9525" b="381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|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-4.9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-12.9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-17.9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-13.9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-16.9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16.9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-7.9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-0.9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-5.9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-14.9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14.9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21.1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21.1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-11.9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-7.9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-6.9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-16.9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16.9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-9.9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-5.9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-2.9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-15.9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15.9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-12.9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lastRenderedPageBreak/>
              <w:t>#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x</w:t>
            </w:r>
          </w:p>
        </w:tc>
        <w:tc>
          <w:tcPr>
            <w:tcW w:w="580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x-</w:t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drawing>
                <wp:inline distT="0" distB="0" distL="0" distR="0" wp14:anchorId="2B4CDC07" wp14:editId="3EA1C785">
                  <wp:extent cx="123825" cy="148590"/>
                  <wp:effectExtent l="0" t="0" r="9525" b="381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|x-</w:t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drawing>
                <wp:inline distT="0" distB="0" distL="0" distR="0" wp14:anchorId="5F6FFE06" wp14:editId="66711BAC">
                  <wp:extent cx="123825" cy="148590"/>
                  <wp:effectExtent l="0" t="0" r="9525" b="3810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|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22.1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22.1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14.1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14.1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-4.9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-12.9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-0.9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-13.9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-10.9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-5.9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20.1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20.1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-13.9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14.1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14.1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-15.9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15.9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-11.9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11.9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-10.9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10.9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-4.9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-8.9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-17.9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lastRenderedPageBreak/>
              <w:t>#</w:t>
            </w:r>
          </w:p>
        </w:tc>
        <w:tc>
          <w:tcPr>
            <w:tcW w:w="541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x</w:t>
            </w:r>
          </w:p>
        </w:tc>
        <w:tc>
          <w:tcPr>
            <w:tcW w:w="580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x-</w:t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drawing>
                <wp:inline distT="0" distB="0" distL="0" distR="0" wp14:anchorId="26553DED" wp14:editId="2F3581D8">
                  <wp:extent cx="123825" cy="148590"/>
                  <wp:effectExtent l="0" t="0" r="9525" b="381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" w:type="dxa"/>
            <w:shd w:val="clear" w:color="auto" w:fill="auto"/>
            <w:noWrap/>
            <w:vAlign w:val="bottom"/>
          </w:tcPr>
          <w:p w:rsidR="007068EC" w:rsidRPr="007068EC" w:rsidRDefault="007068EC" w:rsidP="00C01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|x-</w:t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drawing>
                <wp:inline distT="0" distB="0" distL="0" distR="0" wp14:anchorId="32C2FFA8" wp14:editId="7DD68EBE">
                  <wp:extent cx="123825" cy="148590"/>
                  <wp:effectExtent l="0" t="0" r="9525" b="3810"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|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20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-16.9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16.9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-4.9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27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-9.9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-7.9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-2.9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24.1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-13.9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69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33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-3.9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71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44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72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9.1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73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74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75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-7.9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76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36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-0.9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77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78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45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79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41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4.1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4.1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80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28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-8.9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8.9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∑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2952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805.4</w:t>
            </w:r>
          </w:p>
        </w:tc>
      </w:tr>
      <w:tr w:rsidR="007068EC" w:rsidRPr="007068EC" w:rsidTr="007068EC">
        <w:trPr>
          <w:trHeight w:val="300"/>
        </w:trPr>
        <w:tc>
          <w:tcPr>
            <w:tcW w:w="3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drawing>
                <wp:inline distT="0" distB="0" distL="0" distR="0" wp14:anchorId="4CF85B8E" wp14:editId="6EDD2B2D">
                  <wp:extent cx="123825" cy="148590"/>
                  <wp:effectExtent l="0" t="0" r="9525" b="381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7068EC"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36.9</w:t>
            </w:r>
          </w:p>
        </w:tc>
        <w:tc>
          <w:tcPr>
            <w:tcW w:w="580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  <w:tc>
          <w:tcPr>
            <w:tcW w:w="834" w:type="dxa"/>
            <w:shd w:val="clear" w:color="auto" w:fill="auto"/>
            <w:noWrap/>
            <w:vAlign w:val="bottom"/>
            <w:hideMark/>
          </w:tcPr>
          <w:p w:rsidR="007068EC" w:rsidRPr="007068EC" w:rsidRDefault="007068EC" w:rsidP="007068EC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</w:p>
        </w:tc>
      </w:tr>
    </w:tbl>
    <w:p w:rsidR="007068EC" w:rsidRDefault="007068EC" w:rsidP="00D74939">
      <w:pPr>
        <w:spacing w:after="0"/>
        <w:sectPr w:rsidR="007068EC" w:rsidSect="007068EC">
          <w:type w:val="continuous"/>
          <w:pgSz w:w="11906" w:h="16838"/>
          <w:pgMar w:top="1417" w:right="1417" w:bottom="1417" w:left="1417" w:header="708" w:footer="708" w:gutter="0"/>
          <w:pgNumType w:start="0"/>
          <w:cols w:num="3" w:space="708"/>
          <w:titlePg/>
          <w:docGrid w:linePitch="360"/>
        </w:sectPr>
      </w:pPr>
    </w:p>
    <w:p w:rsidR="00725752" w:rsidRDefault="00725752" w:rsidP="00D74939">
      <w:pPr>
        <w:spacing w:after="0"/>
      </w:pPr>
    </w:p>
    <w:p w:rsidR="007068EC" w:rsidRDefault="007068EC" w:rsidP="00D74939">
      <w:pPr>
        <w:spacing w:after="0"/>
        <w:rPr>
          <w:rFonts w:eastAsiaTheme="minorEastAsia"/>
        </w:rPr>
      </w:pPr>
      <w:r>
        <w:t xml:space="preserve">De GAA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805.4</m:t>
            </m:r>
          </m:num>
          <m:den>
            <m:r>
              <w:rPr>
                <w:rFonts w:ascii="Cambria Math" w:hAnsi="Cambria Math"/>
              </w:rPr>
              <m:t>80</m:t>
            </m:r>
          </m:den>
        </m:f>
        <m:r>
          <w:rPr>
            <w:rFonts w:ascii="Cambria Math" w:hAnsi="Cambria Math"/>
          </w:rPr>
          <m:t>=10.0675</m:t>
        </m:r>
      </m:oMath>
      <w:r>
        <w:rPr>
          <w:rFonts w:eastAsiaTheme="minorEastAsia"/>
        </w:rPr>
        <w:t>.</w:t>
      </w:r>
    </w:p>
    <w:p w:rsidR="00EE54FE" w:rsidRDefault="00EE54FE" w:rsidP="00D74939">
      <w:pPr>
        <w:spacing w:after="0"/>
      </w:pPr>
      <w:bookmarkStart w:id="0" w:name="_GoBack"/>
      <w:bookmarkEnd w:id="0"/>
    </w:p>
    <w:p w:rsidR="00D74939" w:rsidRDefault="00D74939" w:rsidP="00D74939">
      <w:pPr>
        <w:pStyle w:val="Heading2"/>
      </w:pPr>
      <w:r>
        <w:t xml:space="preserve">Opdracht 3.4 </w:t>
      </w:r>
      <w:r w:rsidR="00E850AE">
        <w:t>- M</w:t>
      </w:r>
      <w:r w:rsidR="00C013F2">
        <w:t>artine</w:t>
      </w:r>
    </w:p>
    <w:p w:rsidR="00D74939" w:rsidRDefault="00D74939" w:rsidP="00D74939">
      <w:pPr>
        <w:spacing w:after="0"/>
      </w:pPr>
      <w:r w:rsidRPr="001473EC">
        <w:t xml:space="preserve">Bestudeer  in de syllabus Buijs de </w:t>
      </w:r>
      <w:r>
        <w:t>interkwartiel range (IQR)</w:t>
      </w:r>
      <w:r w:rsidRPr="001473EC">
        <w:t xml:space="preserve">. </w:t>
      </w:r>
      <w:r>
        <w:t xml:space="preserve">Bestand BANKIERS. Bepaal de IQR van de salarissen. </w:t>
      </w:r>
    </w:p>
    <w:p w:rsidR="001D43A0" w:rsidRDefault="001D43A0" w:rsidP="00D74939">
      <w:pPr>
        <w:spacing w:after="0"/>
      </w:pPr>
    </w:p>
    <w:p w:rsidR="001D43A0" w:rsidRPr="00E850AE" w:rsidRDefault="001D43A0" w:rsidP="00D74939">
      <w:pPr>
        <w:spacing w:after="0"/>
      </w:pPr>
      <w:r w:rsidRPr="00E850AE">
        <w:t>Q</w:t>
      </w:r>
      <w:r w:rsidRPr="00E850AE">
        <w:softHyphen/>
      </w:r>
      <w:r w:rsidRPr="00E850AE">
        <w:rPr>
          <w:vertAlign w:val="subscript"/>
        </w:rPr>
        <w:t>1</w:t>
      </w:r>
      <w:r w:rsidRPr="00E850AE">
        <w:t>=27</w:t>
      </w:r>
    </w:p>
    <w:p w:rsidR="001D43A0" w:rsidRPr="00E850AE" w:rsidRDefault="001D43A0" w:rsidP="00D74939">
      <w:pPr>
        <w:spacing w:after="0"/>
        <w:rPr>
          <w:rFonts w:eastAsiaTheme="minorEastAsia"/>
        </w:rPr>
      </w:pPr>
      <w:r w:rsidRPr="00E850AE">
        <w:rPr>
          <w:rFonts w:eastAsiaTheme="minorEastAsia"/>
        </w:rPr>
        <w:t>Q</w:t>
      </w:r>
      <w:r w:rsidRPr="00E850AE">
        <w:rPr>
          <w:rFonts w:eastAsiaTheme="minorEastAsia"/>
          <w:vertAlign w:val="subscript"/>
        </w:rPr>
        <w:t>3</w:t>
      </w:r>
      <w:r w:rsidRPr="00E850AE">
        <w:rPr>
          <w:rFonts w:eastAsiaTheme="minorEastAsia"/>
        </w:rPr>
        <w:t>=46</w:t>
      </w:r>
    </w:p>
    <w:p w:rsidR="001D43A0" w:rsidRPr="00E850AE" w:rsidRDefault="001D43A0" w:rsidP="00D74939">
      <w:pPr>
        <w:spacing w:after="0"/>
      </w:pPr>
      <w:r w:rsidRPr="00E850AE">
        <w:t>IQR=Q</w:t>
      </w:r>
      <w:r w:rsidRPr="00E850AE">
        <w:rPr>
          <w:vertAlign w:val="subscript"/>
        </w:rPr>
        <w:t>3</w:t>
      </w:r>
      <w:r w:rsidRPr="00E850AE">
        <w:t>-Q</w:t>
      </w:r>
      <w:r w:rsidRPr="00E850AE">
        <w:rPr>
          <w:vertAlign w:val="subscript"/>
        </w:rPr>
        <w:t>1</w:t>
      </w:r>
      <w:r w:rsidRPr="00E850AE">
        <w:t>= 46-27=19</w:t>
      </w:r>
    </w:p>
    <w:p w:rsidR="00D74939" w:rsidRDefault="00D74939" w:rsidP="00D74939">
      <w:pPr>
        <w:pStyle w:val="Heading2"/>
      </w:pPr>
      <w:r>
        <w:lastRenderedPageBreak/>
        <w:t xml:space="preserve">Opdracht 3.5 </w:t>
      </w:r>
      <w:r w:rsidR="00E850AE">
        <w:t>- C</w:t>
      </w:r>
      <w:r w:rsidR="00C013F2">
        <w:t>aroline</w:t>
      </w:r>
    </w:p>
    <w:p w:rsidR="00D74939" w:rsidRDefault="00D74939" w:rsidP="00D74939">
      <w:pPr>
        <w:spacing w:after="0"/>
      </w:pPr>
      <w:r w:rsidRPr="001473EC">
        <w:t xml:space="preserve">Bestudeer  in de syllabus Buijs </w:t>
      </w:r>
      <w:r>
        <w:t>hoe in een groep gegevens uitbijters kunnen worden gedefinieerd.</w:t>
      </w:r>
      <w:r w:rsidRPr="001473EC">
        <w:t xml:space="preserve"> </w:t>
      </w:r>
      <w:r>
        <w:t>Welke salarissen uit het bestand BANKIERS zij</w:t>
      </w:r>
      <w:r w:rsidR="00EE54FE">
        <w:t>n als uitbijters te beschouwen?</w:t>
      </w:r>
    </w:p>
    <w:p w:rsidR="00EE54FE" w:rsidRDefault="00EE54FE" w:rsidP="00D74939">
      <w:pPr>
        <w:spacing w:after="0"/>
      </w:pPr>
    </w:p>
    <w:p w:rsidR="00D74939" w:rsidRDefault="00D74939" w:rsidP="00D74939">
      <w:pPr>
        <w:pStyle w:val="Heading2"/>
      </w:pPr>
      <w:r>
        <w:t xml:space="preserve">Opdracht 3.6 </w:t>
      </w:r>
      <w:r w:rsidR="00C013F2">
        <w:t>- Martine</w:t>
      </w:r>
    </w:p>
    <w:p w:rsidR="00D74939" w:rsidRDefault="00D74939" w:rsidP="00D74939">
      <w:pPr>
        <w:spacing w:after="0"/>
      </w:pPr>
      <w:r w:rsidRPr="00F03E69">
        <w:t xml:space="preserve">Bestudeer  in de syllabus Buijs de </w:t>
      </w:r>
      <w:r>
        <w:t>variantie</w:t>
      </w:r>
      <w:r w:rsidRPr="00F03E69">
        <w:t xml:space="preserve">. </w:t>
      </w:r>
      <w:r w:rsidRPr="00BB16FC">
        <w:t>Bestand BANKIERS</w:t>
      </w:r>
      <w:r>
        <w:t xml:space="preserve">.  Neem de eerste 10 leeftijden. </w:t>
      </w:r>
      <w:r w:rsidRPr="00BB16FC">
        <w:t xml:space="preserve">Bepaal </w:t>
      </w:r>
      <w:r>
        <w:t xml:space="preserve">daarvan </w:t>
      </w:r>
      <w:r w:rsidRPr="00BB16FC">
        <w:t>het gemiddelde</w:t>
      </w:r>
      <w:r>
        <w:t xml:space="preserve">. </w:t>
      </w:r>
      <w:r w:rsidRPr="00BB16FC">
        <w:t>Plaats naast d</w:t>
      </w:r>
      <w:r>
        <w:t>i</w:t>
      </w:r>
      <w:r w:rsidRPr="00BB16FC">
        <w:t xml:space="preserve">e eerste 10 </w:t>
      </w:r>
      <w:r>
        <w:t>leeftijden</w:t>
      </w:r>
      <w:r w:rsidRPr="00BB16FC">
        <w:t xml:space="preserve"> de afwijking van hun gemiddelde.</w:t>
      </w:r>
      <w:r>
        <w:t xml:space="preserve"> Plaats daarnaast  in de volgende kolom de kwadraten van die die afwijkingen. Bereken het gemiddelde van die kwadraten. Bereken vervolgens de wortel uit dat gemiddelde.  </w:t>
      </w:r>
      <w:r w:rsidRPr="00BB16FC">
        <w:t xml:space="preserve">Zoek </w:t>
      </w:r>
      <w:r>
        <w:t xml:space="preserve">daarna </w:t>
      </w:r>
      <w:r w:rsidRPr="00BB16FC">
        <w:t>in Excel  de formule</w:t>
      </w:r>
      <w:r>
        <w:t>s</w:t>
      </w:r>
      <w:r w:rsidRPr="00BB16FC">
        <w:t xml:space="preserve"> voor de </w:t>
      </w:r>
      <w:r>
        <w:t>variantie en de standaarddeviatie</w:t>
      </w:r>
      <w:r w:rsidRPr="00BB16FC">
        <w:t xml:space="preserve"> en </w:t>
      </w:r>
      <w:r>
        <w:t>vergelijk</w:t>
      </w:r>
      <w:r w:rsidRPr="00BB16FC">
        <w:t xml:space="preserve"> daarmee je antwoord</w:t>
      </w:r>
      <w:r>
        <w:t>en</w:t>
      </w:r>
      <w:r w:rsidRPr="00BB16FC">
        <w:t>.</w:t>
      </w:r>
    </w:p>
    <w:p w:rsidR="00D74939" w:rsidRDefault="00D74939" w:rsidP="00D74939">
      <w:pPr>
        <w:spacing w:after="0"/>
      </w:pPr>
    </w:p>
    <w:p w:rsidR="00E850AE" w:rsidRDefault="00CF073C" w:rsidP="00D74939">
      <w:pPr>
        <w:spacing w:after="0"/>
      </w:pPr>
      <w:r>
        <w:rPr>
          <w:noProof/>
          <w:lang w:eastAsia="nl-NL"/>
        </w:rPr>
        <w:drawing>
          <wp:inline distT="0" distB="0" distL="0" distR="0">
            <wp:extent cx="5760720" cy="1948618"/>
            <wp:effectExtent l="0" t="0" r="0" b="0"/>
            <wp:docPr id="20" name="Picture 20" descr="http://i.gyazo.com/90d2bd1283bba9a71dbd77c5cc9638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gyazo.com/90d2bd1283bba9a71dbd77c5cc9638e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BBE" w:rsidRDefault="00722BBE" w:rsidP="00D74939">
      <w:pPr>
        <w:spacing w:after="0"/>
      </w:pPr>
    </w:p>
    <w:p w:rsidR="00214B5E" w:rsidRDefault="00214B5E" w:rsidP="00D74939">
      <w:pPr>
        <w:spacing w:after="0"/>
      </w:pPr>
      <w:r>
        <w:t>In de tabel hierboven wordt de functie ‘VARP’ gebruikt om de variantie te berekenen, en de formule ‘STDEV.P’ wordt gebruikt om de standaarddeviatie te berekenen.</w:t>
      </w:r>
      <w:r w:rsidR="00CF073C">
        <w:t xml:space="preserve"> </w:t>
      </w:r>
    </w:p>
    <w:p w:rsidR="00EE54FE" w:rsidRDefault="00EE54FE" w:rsidP="00D74939">
      <w:pPr>
        <w:spacing w:after="0"/>
      </w:pPr>
    </w:p>
    <w:p w:rsidR="00D74939" w:rsidRDefault="00D74939" w:rsidP="00D74939">
      <w:pPr>
        <w:pStyle w:val="Heading2"/>
      </w:pPr>
      <w:r>
        <w:t>Opdracht 3.7</w:t>
      </w:r>
      <w:r w:rsidRPr="00BB16FC">
        <w:t xml:space="preserve"> </w:t>
      </w:r>
      <w:r w:rsidR="00E850AE">
        <w:t>- M</w:t>
      </w:r>
      <w:r w:rsidR="00C013F2">
        <w:t>artine</w:t>
      </w:r>
    </w:p>
    <w:p w:rsidR="00D74939" w:rsidRDefault="00D74939" w:rsidP="00D74939">
      <w:pPr>
        <w:spacing w:after="0"/>
      </w:pPr>
      <w:r w:rsidRPr="00AA6F03">
        <w:t xml:space="preserve">Bepaal nu in de dataset BANKIERS de </w:t>
      </w:r>
      <w:r>
        <w:t>variantie en de standaarddeviatie</w:t>
      </w:r>
      <w:r w:rsidRPr="00AA6F03">
        <w:t xml:space="preserve"> van </w:t>
      </w:r>
      <w:r>
        <w:t>alle</w:t>
      </w:r>
      <w:r w:rsidRPr="00AA6F03">
        <w:t xml:space="preserve"> leeftijden.</w:t>
      </w:r>
      <w:r>
        <w:t xml:space="preserve"> Voor de te gebruiken formules kan het uitmaken of je de dataset als een steekproef of als een populatie beschouwt (zie blz. 82/83 syllabus). Zoek uit welke verschillende formules daarvoor in Excel gebruikt worden. Pas ze allebei toe en licht de verschillen toe.</w:t>
      </w:r>
    </w:p>
    <w:p w:rsidR="00D74939" w:rsidRDefault="00D74939" w:rsidP="00D74939">
      <w:pPr>
        <w:spacing w:after="0"/>
      </w:pPr>
    </w:p>
    <w:p w:rsidR="00896904" w:rsidRDefault="00896904" w:rsidP="00D74939">
      <w:pPr>
        <w:spacing w:after="0"/>
      </w:pPr>
      <w:r>
        <w:rPr>
          <w:noProof/>
          <w:lang w:eastAsia="nl-NL"/>
        </w:rPr>
        <w:drawing>
          <wp:inline distT="0" distB="0" distL="0" distR="0">
            <wp:extent cx="2352675" cy="847725"/>
            <wp:effectExtent l="0" t="0" r="9525" b="9525"/>
            <wp:docPr id="22" name="Picture 22" descr="http://i.gyazo.com/364ebe1cd4937810a313fe4d660e62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gyazo.com/364ebe1cd4937810a313fe4d660e627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C4" w:rsidRDefault="005C09C4" w:rsidP="00D74939">
      <w:pPr>
        <w:spacing w:after="0"/>
      </w:pPr>
    </w:p>
    <w:p w:rsidR="005C09C4" w:rsidRPr="005C09C4" w:rsidRDefault="00EE54FE" w:rsidP="00D74939">
      <w:pPr>
        <w:spacing w:after="0"/>
      </w:pPr>
      <w:r>
        <w:t>Het</w:t>
      </w:r>
      <w:r w:rsidR="005C09C4" w:rsidRPr="005C09C4">
        <w:t xml:space="preserve"> verschil tussen de formules ligt in het feit dat voor een steekproef de som van de afwijking in het kwadraat door n-1 gedeeld moet worden en voor de volledige dataset hier gewoon het gemiddelde gebruikt wordt.</w:t>
      </w:r>
    </w:p>
    <w:p w:rsidR="005C09C4" w:rsidRDefault="005C09C4" w:rsidP="00D74939">
      <w:pPr>
        <w:spacing w:after="0"/>
      </w:pPr>
    </w:p>
    <w:p w:rsidR="00D74939" w:rsidRDefault="00D74939" w:rsidP="00D74939">
      <w:pPr>
        <w:pStyle w:val="Heading2"/>
      </w:pPr>
      <w:r>
        <w:lastRenderedPageBreak/>
        <w:t xml:space="preserve">Opdracht 3.8 </w:t>
      </w:r>
      <w:r w:rsidR="00E850AE">
        <w:t>- C</w:t>
      </w:r>
      <w:r w:rsidR="00C013F2">
        <w:t>aroline</w:t>
      </w:r>
    </w:p>
    <w:p w:rsidR="00D74939" w:rsidRDefault="00D74939" w:rsidP="00D74939">
      <w:pPr>
        <w:spacing w:after="0"/>
      </w:pPr>
      <w:r w:rsidRPr="00965576">
        <w:t xml:space="preserve">Bestudeer  in de syllabus Buijs de </w:t>
      </w:r>
      <w:r>
        <w:t xml:space="preserve">variatiecoëfficiënt </w:t>
      </w:r>
      <w:r w:rsidRPr="00965576">
        <w:t xml:space="preserve">. </w:t>
      </w:r>
      <w:r>
        <w:t xml:space="preserve">Bestand TOP100. Bereken en vergelijk de twee variatiecoëfficiënten van de omzetten in 1989 en 1990. </w:t>
      </w:r>
      <w:r w:rsidRPr="001C308D">
        <w:t>Becommentarieer de verschillen.</w:t>
      </w:r>
    </w:p>
    <w:p w:rsidR="00EE54FE" w:rsidRDefault="00EE54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436A" w:rsidRDefault="0097436A" w:rsidP="00F81CBE">
      <w:pPr>
        <w:pStyle w:val="Heading2"/>
      </w:pPr>
      <w:r>
        <w:lastRenderedPageBreak/>
        <w:t>Opgaven Buijs</w:t>
      </w:r>
    </w:p>
    <w:p w:rsidR="0097436A" w:rsidRPr="00D70670" w:rsidRDefault="0097436A" w:rsidP="0060637D">
      <w:pPr>
        <w:pStyle w:val="NoSpacing"/>
        <w:rPr>
          <w:lang w:val="nl-NL"/>
        </w:rPr>
      </w:pPr>
    </w:p>
    <w:p w:rsidR="0097436A" w:rsidRPr="00D70670" w:rsidRDefault="0097436A" w:rsidP="0060637D">
      <w:pPr>
        <w:pStyle w:val="NoSpacing"/>
        <w:rPr>
          <w:b/>
          <w:lang w:val="nl-NL"/>
        </w:rPr>
      </w:pPr>
      <w:r w:rsidRPr="00D70670">
        <w:rPr>
          <w:b/>
          <w:lang w:val="nl-NL"/>
        </w:rPr>
        <w:t>Deel A</w:t>
      </w:r>
    </w:p>
    <w:p w:rsidR="0097436A" w:rsidRPr="00337262" w:rsidRDefault="00337262" w:rsidP="0060637D">
      <w:pPr>
        <w:pStyle w:val="NoSpacing"/>
      </w:pPr>
      <w:r w:rsidRPr="00337262">
        <w:t>M07</w:t>
      </w:r>
      <w:r>
        <w:t xml:space="preserve"> = B</w:t>
      </w:r>
    </w:p>
    <w:p w:rsidR="0097436A" w:rsidRPr="00337262" w:rsidRDefault="00337262" w:rsidP="0060637D">
      <w:pPr>
        <w:pStyle w:val="NoSpacing"/>
      </w:pPr>
      <w:r w:rsidRPr="00337262">
        <w:t>M08</w:t>
      </w:r>
      <w:r w:rsidR="0097436A" w:rsidRPr="00337262">
        <w:t xml:space="preserve"> = </w:t>
      </w:r>
      <w:r>
        <w:t>C</w:t>
      </w:r>
    </w:p>
    <w:p w:rsidR="0097436A" w:rsidRPr="00337262" w:rsidRDefault="00337262" w:rsidP="0060637D">
      <w:pPr>
        <w:pStyle w:val="NoSpacing"/>
      </w:pPr>
      <w:r w:rsidRPr="00337262">
        <w:t>M09</w:t>
      </w:r>
      <w:r w:rsidR="0097436A" w:rsidRPr="00337262">
        <w:t xml:space="preserve"> = </w:t>
      </w:r>
      <w:r>
        <w:t>C</w:t>
      </w:r>
    </w:p>
    <w:p w:rsidR="0097436A" w:rsidRPr="00337262" w:rsidRDefault="00337262" w:rsidP="0060637D">
      <w:pPr>
        <w:pStyle w:val="NoSpacing"/>
      </w:pPr>
      <w:r w:rsidRPr="00337262">
        <w:t>M10</w:t>
      </w:r>
      <w:r w:rsidR="0097436A" w:rsidRPr="00337262">
        <w:t xml:space="preserve"> = </w:t>
      </w:r>
      <w:r>
        <w:t>B</w:t>
      </w:r>
    </w:p>
    <w:p w:rsidR="0097436A" w:rsidRPr="00337262" w:rsidRDefault="0097436A" w:rsidP="0060637D">
      <w:pPr>
        <w:pStyle w:val="NoSpacing"/>
      </w:pPr>
      <w:r w:rsidRPr="00337262">
        <w:t>M</w:t>
      </w:r>
      <w:r w:rsidR="00337262" w:rsidRPr="00337262">
        <w:t>11</w:t>
      </w:r>
      <w:r w:rsidRPr="00337262">
        <w:t xml:space="preserve"> = </w:t>
      </w:r>
      <w:r w:rsidR="00337262">
        <w:t>A</w:t>
      </w:r>
    </w:p>
    <w:p w:rsidR="0097436A" w:rsidRPr="00337262" w:rsidRDefault="00337262" w:rsidP="0060637D">
      <w:pPr>
        <w:pStyle w:val="NoSpacing"/>
      </w:pPr>
      <w:r w:rsidRPr="00337262">
        <w:t>M12</w:t>
      </w:r>
      <w:r w:rsidR="0097436A" w:rsidRPr="00337262">
        <w:t xml:space="preserve"> = </w:t>
      </w:r>
      <w:r>
        <w:t>B</w:t>
      </w:r>
    </w:p>
    <w:p w:rsidR="0097436A" w:rsidRPr="00337262" w:rsidRDefault="0097436A" w:rsidP="0060637D">
      <w:pPr>
        <w:pStyle w:val="NoSpacing"/>
      </w:pPr>
    </w:p>
    <w:p w:rsidR="0097436A" w:rsidRPr="00D70670" w:rsidRDefault="0097436A" w:rsidP="0060637D">
      <w:pPr>
        <w:pStyle w:val="NoSpacing"/>
        <w:rPr>
          <w:b/>
          <w:lang w:val="nl-NL"/>
        </w:rPr>
      </w:pPr>
      <w:r w:rsidRPr="00D70670">
        <w:rPr>
          <w:b/>
          <w:lang w:val="nl-NL"/>
        </w:rPr>
        <w:t>Deel B</w:t>
      </w:r>
    </w:p>
    <w:p w:rsidR="0097436A" w:rsidRDefault="0097436A" w:rsidP="0060637D">
      <w:pPr>
        <w:pStyle w:val="NoSpacing"/>
      </w:pPr>
      <w:r>
        <w:t>1a</w:t>
      </w:r>
    </w:p>
    <w:p w:rsidR="0097436A" w:rsidRPr="00C25C2C" w:rsidRDefault="0097436A" w:rsidP="0060637D">
      <w:pPr>
        <w:pStyle w:val="NoSpacing"/>
        <w:rPr>
          <w:sz w:val="19"/>
          <w:szCs w:val="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9"/>
              <w:szCs w:val="19"/>
            </w:rPr>
            <m:t>10+16+18+16+13+21+18+20+12+15+12+9+14+10+15+12+19+12+13+10=285</m:t>
          </m:r>
        </m:oMath>
      </m:oMathPara>
    </w:p>
    <w:p w:rsidR="0097436A" w:rsidRPr="004B0F75" w:rsidRDefault="0097436A" w:rsidP="0060637D">
      <w:pPr>
        <w:pStyle w:val="NoSpacing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noProof/>
              <w:lang w:val="nl-NL" w:eastAsia="nl-NL"/>
            </w:rPr>
            <w:drawing>
              <wp:inline distT="0" distB="0" distL="0" distR="0" wp14:anchorId="1C5E404B" wp14:editId="66D53A76">
                <wp:extent cx="180975" cy="217170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000" cy="21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285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=14,25</m:t>
          </m:r>
        </m:oMath>
      </m:oMathPara>
    </w:p>
    <w:p w:rsidR="0097436A" w:rsidRDefault="0097436A" w:rsidP="0060637D">
      <w:pPr>
        <w:pStyle w:val="NoSpacing"/>
      </w:pPr>
    </w:p>
    <w:p w:rsidR="0097436A" w:rsidRDefault="0097436A" w:rsidP="0060637D">
      <w:pPr>
        <w:pStyle w:val="NoSpacing"/>
      </w:pPr>
      <w:r>
        <w:t xml:space="preserve">1b </w:t>
      </w:r>
    </w:p>
    <w:p w:rsidR="0097436A" w:rsidRDefault="0097436A" w:rsidP="0060637D">
      <w:pPr>
        <w:pStyle w:val="NoSpacing"/>
      </w:pPr>
      <w:r>
        <w:t>9</w:t>
      </w:r>
      <w:r>
        <w:tab/>
        <w:t>10</w:t>
      </w:r>
      <w:r>
        <w:tab/>
        <w:t>10</w:t>
      </w:r>
      <w:r>
        <w:tab/>
        <w:t>10</w:t>
      </w:r>
      <w:r>
        <w:tab/>
        <w:t>12</w:t>
      </w:r>
      <w:r>
        <w:tab/>
        <w:t>12</w:t>
      </w:r>
      <w:r>
        <w:tab/>
        <w:t>12</w:t>
      </w:r>
      <w:r>
        <w:tab/>
        <w:t>12</w:t>
      </w:r>
      <w:r>
        <w:tab/>
        <w:t>13</w:t>
      </w:r>
      <w:r>
        <w:tab/>
        <w:t>13</w:t>
      </w:r>
    </w:p>
    <w:p w:rsidR="0097436A" w:rsidRDefault="0097436A" w:rsidP="0060637D">
      <w:pPr>
        <w:pStyle w:val="NoSpacing"/>
      </w:pPr>
      <w:r>
        <w:t>14</w:t>
      </w:r>
      <w:r>
        <w:tab/>
        <w:t>15</w:t>
      </w:r>
      <w:r>
        <w:tab/>
        <w:t>15</w:t>
      </w:r>
      <w:r>
        <w:tab/>
        <w:t>16</w:t>
      </w:r>
      <w:r>
        <w:tab/>
        <w:t>16</w:t>
      </w:r>
      <w:r>
        <w:tab/>
        <w:t>18</w:t>
      </w:r>
      <w:r>
        <w:tab/>
        <w:t>18</w:t>
      </w:r>
      <w:r>
        <w:tab/>
        <w:t>19</w:t>
      </w:r>
      <w:r>
        <w:tab/>
        <w:t>20</w:t>
      </w:r>
      <w:r>
        <w:tab/>
        <w:t>21</w:t>
      </w:r>
    </w:p>
    <w:p w:rsidR="0097436A" w:rsidRDefault="0097436A" w:rsidP="0060637D">
      <w:pPr>
        <w:pStyle w:val="NoSpacing"/>
      </w:pPr>
    </w:p>
    <w:p w:rsidR="0097436A" w:rsidRPr="004B0F75" w:rsidRDefault="0097436A" w:rsidP="0060637D">
      <w:pPr>
        <w:pStyle w:val="NoSpacing"/>
      </w:pPr>
      <w:r>
        <w:t>X</w:t>
      </w:r>
      <w:r>
        <w:rPr>
          <w:vertAlign w:val="subscript"/>
        </w:rPr>
        <w:t>med</w:t>
      </w:r>
      <w: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13+14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=13.5</m:t>
        </m:r>
      </m:oMath>
    </w:p>
    <w:p w:rsidR="0097436A" w:rsidRDefault="0097436A" w:rsidP="0060637D">
      <w:pPr>
        <w:pStyle w:val="NoSpacing"/>
      </w:pPr>
    </w:p>
    <w:p w:rsidR="0097436A" w:rsidRDefault="0097436A" w:rsidP="0060637D">
      <w:pPr>
        <w:pStyle w:val="NoSpacing"/>
      </w:pPr>
      <w:r>
        <w:t>1c</w:t>
      </w:r>
    </w:p>
    <w:p w:rsidR="0097436A" w:rsidRDefault="0097436A" w:rsidP="0060637D">
      <w:pPr>
        <w:pStyle w:val="NoSpacing"/>
      </w:pPr>
    </w:p>
    <w:p w:rsidR="0097436A" w:rsidRDefault="0097436A" w:rsidP="0060637D">
      <w:pPr>
        <w:pStyle w:val="NoSpacing"/>
      </w:pPr>
      <w:r>
        <w:t>X</w:t>
      </w:r>
      <w:r>
        <w:rPr>
          <w:vertAlign w:val="subscript"/>
        </w:rPr>
        <w:t>mod</w:t>
      </w:r>
      <w:r>
        <w:t>=12</w:t>
      </w:r>
    </w:p>
    <w:p w:rsidR="0097436A" w:rsidRDefault="0097436A" w:rsidP="0060637D">
      <w:pPr>
        <w:pStyle w:val="NoSpacing"/>
      </w:pPr>
    </w:p>
    <w:p w:rsidR="0097436A" w:rsidRDefault="0097436A" w:rsidP="0060637D">
      <w:pPr>
        <w:pStyle w:val="NoSpacing"/>
      </w:pPr>
      <w:r>
        <w:t>1d</w:t>
      </w:r>
    </w:p>
    <w:p w:rsidR="0097436A" w:rsidRPr="004B0F75" w:rsidRDefault="0097436A" w:rsidP="0060637D">
      <w:pPr>
        <w:pStyle w:val="NoSpacing"/>
      </w:pPr>
      <w:r>
        <w:t xml:space="preserve"> </w:t>
      </w:r>
      <m:oMath>
        <m:r>
          <w:rPr>
            <w:rFonts w:ascii="Cambria Math" w:hAnsi="Cambria Math"/>
          </w:rPr>
          <m:t>GAA=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|x-</m:t>
                </m:r>
                <m:r>
                  <w:rPr>
                    <w:rFonts w:ascii="Cambria Math" w:hAnsi="Cambria Math"/>
                    <w:i/>
                    <w:noProof/>
                    <w:lang w:val="nl-NL" w:eastAsia="nl-NL"/>
                  </w:rPr>
                  <w:drawing>
                    <wp:inline distT="0" distB="0" distL="0" distR="0" wp14:anchorId="1D30AA12" wp14:editId="6EF928E9">
                      <wp:extent cx="123825" cy="148590"/>
                      <wp:effectExtent l="0" t="0" r="9525" b="3810"/>
                      <wp:docPr id="4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</pic:nvPicPr>
                            <pic:blipFill>
                              <a:blip r:embed="rId7" cstate="print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42" cy="14861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  <m:r>
                  <w:rPr>
                    <w:rFonts w:ascii="Cambria Math" w:hAnsi="Cambria Math"/>
                  </w:rPr>
                  <m:t>|</m:t>
                </m:r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59.5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>=2.975</m:t>
        </m:r>
      </m:oMath>
    </w:p>
    <w:p w:rsidR="0097436A" w:rsidRDefault="0097436A" w:rsidP="0060637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661"/>
        <w:gridCol w:w="783"/>
        <w:gridCol w:w="951"/>
      </w:tblGrid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#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X</w:t>
            </w:r>
          </w:p>
        </w:tc>
        <w:tc>
          <w:tcPr>
            <w:tcW w:w="783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x-</w:t>
            </w:r>
            <w:r w:rsidRPr="00477FCE">
              <w:rPr>
                <w:noProof/>
                <w:sz w:val="20"/>
                <w:lang w:val="nl-NL" w:eastAsia="nl-NL"/>
              </w:rPr>
              <w:drawing>
                <wp:inline distT="0" distB="0" distL="0" distR="0" wp14:anchorId="690A8C5A" wp14:editId="54B74E68">
                  <wp:extent cx="123825" cy="148590"/>
                  <wp:effectExtent l="0" t="0" r="9525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| x-</w:t>
            </w:r>
            <w:r w:rsidRPr="00477FCE">
              <w:rPr>
                <w:noProof/>
                <w:sz w:val="20"/>
                <w:lang w:val="nl-NL" w:eastAsia="nl-NL"/>
              </w:rPr>
              <w:drawing>
                <wp:inline distT="0" distB="0" distL="0" distR="0" wp14:anchorId="1747D356" wp14:editId="39833EC5">
                  <wp:extent cx="123825" cy="148590"/>
                  <wp:effectExtent l="0" t="0" r="952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42" cy="148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77FCE">
              <w:rPr>
                <w:sz w:val="20"/>
              </w:rPr>
              <w:t>|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10</w:t>
            </w:r>
          </w:p>
        </w:tc>
        <w:tc>
          <w:tcPr>
            <w:tcW w:w="783" w:type="dxa"/>
          </w:tcPr>
          <w:p w:rsidR="00280BF7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-4.25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4.25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16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3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18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3.75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3.75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4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16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5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13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-1.25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6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21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6.75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6.75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7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18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3.75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3.75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8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20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5.75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5.75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9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12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-2.25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10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15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0.75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0.75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11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12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-2.25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12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9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-5.25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5.25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13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14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-0.25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0.25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14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10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-4.25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4.25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15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15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0.75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0.75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16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12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-2.25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17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19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4.75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4.75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18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12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-2.25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19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13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-1.25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20</w:t>
            </w:r>
          </w:p>
        </w:tc>
        <w:tc>
          <w:tcPr>
            <w:tcW w:w="661" w:type="dxa"/>
          </w:tcPr>
          <w:p w:rsidR="00D70670" w:rsidRPr="00477FCE" w:rsidRDefault="00D70670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10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-4.25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4.25</w:t>
            </w:r>
          </w:p>
        </w:tc>
      </w:tr>
      <w:tr w:rsidR="00D70670" w:rsidRPr="00477FCE" w:rsidTr="00FB7DB1">
        <w:tc>
          <w:tcPr>
            <w:tcW w:w="857" w:type="dxa"/>
          </w:tcPr>
          <w:p w:rsidR="00D70670" w:rsidRPr="00477FCE" w:rsidRDefault="00910B86" w:rsidP="0060637D">
            <w:pPr>
              <w:pStyle w:val="NoSpacing"/>
              <w:rPr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/>
                  <m:sup/>
                  <m:e/>
                </m:nary>
              </m:oMath>
            </m:oMathPara>
          </w:p>
        </w:tc>
        <w:tc>
          <w:tcPr>
            <w:tcW w:w="66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285</w:t>
            </w:r>
          </w:p>
        </w:tc>
        <w:tc>
          <w:tcPr>
            <w:tcW w:w="783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0</w:t>
            </w:r>
          </w:p>
        </w:tc>
        <w:tc>
          <w:tcPr>
            <w:tcW w:w="951" w:type="dxa"/>
          </w:tcPr>
          <w:p w:rsidR="00D70670" w:rsidRPr="00477FCE" w:rsidRDefault="00280BF7" w:rsidP="0060637D">
            <w:pPr>
              <w:pStyle w:val="NoSpacing"/>
              <w:rPr>
                <w:sz w:val="20"/>
              </w:rPr>
            </w:pPr>
            <w:r w:rsidRPr="00477FCE">
              <w:rPr>
                <w:sz w:val="20"/>
              </w:rPr>
              <w:t>59.5</w:t>
            </w:r>
          </w:p>
        </w:tc>
      </w:tr>
    </w:tbl>
    <w:p w:rsidR="00D70670" w:rsidRPr="00477FCE" w:rsidRDefault="00D70670" w:rsidP="0060637D">
      <w:pPr>
        <w:pStyle w:val="NoSpacing"/>
        <w:rPr>
          <w:sz w:val="2"/>
          <w:szCs w:val="2"/>
        </w:rPr>
      </w:pPr>
    </w:p>
    <w:sectPr w:rsidR="00D70670" w:rsidRPr="00477FCE" w:rsidSect="007068EC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36A"/>
    <w:rsid w:val="000A6B83"/>
    <w:rsid w:val="000D2E7A"/>
    <w:rsid w:val="00181170"/>
    <w:rsid w:val="001D43A0"/>
    <w:rsid w:val="00210FB2"/>
    <w:rsid w:val="00214B5E"/>
    <w:rsid w:val="00264F5F"/>
    <w:rsid w:val="00280BF7"/>
    <w:rsid w:val="00295D68"/>
    <w:rsid w:val="00337262"/>
    <w:rsid w:val="003F6F43"/>
    <w:rsid w:val="00477FCE"/>
    <w:rsid w:val="0048169F"/>
    <w:rsid w:val="0055632B"/>
    <w:rsid w:val="005C09C4"/>
    <w:rsid w:val="0060637D"/>
    <w:rsid w:val="0062118D"/>
    <w:rsid w:val="007068EC"/>
    <w:rsid w:val="00722BBE"/>
    <w:rsid w:val="00725752"/>
    <w:rsid w:val="00740419"/>
    <w:rsid w:val="007C1EAD"/>
    <w:rsid w:val="00896904"/>
    <w:rsid w:val="008A458B"/>
    <w:rsid w:val="00910B86"/>
    <w:rsid w:val="009118AF"/>
    <w:rsid w:val="0097436A"/>
    <w:rsid w:val="00AE030B"/>
    <w:rsid w:val="00BA5E04"/>
    <w:rsid w:val="00C013F2"/>
    <w:rsid w:val="00CF073C"/>
    <w:rsid w:val="00D70670"/>
    <w:rsid w:val="00D740C4"/>
    <w:rsid w:val="00D74939"/>
    <w:rsid w:val="00D9378E"/>
    <w:rsid w:val="00E850AE"/>
    <w:rsid w:val="00EE54FE"/>
    <w:rsid w:val="00F81CBE"/>
    <w:rsid w:val="00FB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A"/>
  </w:style>
  <w:style w:type="paragraph" w:styleId="Heading1">
    <w:name w:val="heading 1"/>
    <w:basedOn w:val="Normal"/>
    <w:next w:val="Normal"/>
    <w:link w:val="Heading1Char"/>
    <w:uiPriority w:val="9"/>
    <w:qFormat/>
    <w:rsid w:val="0097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7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36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436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436A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97436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36A"/>
  </w:style>
  <w:style w:type="paragraph" w:styleId="Heading1">
    <w:name w:val="heading 1"/>
    <w:basedOn w:val="Normal"/>
    <w:next w:val="Normal"/>
    <w:link w:val="Heading1Char"/>
    <w:uiPriority w:val="9"/>
    <w:qFormat/>
    <w:rsid w:val="00974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3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3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7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4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36A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436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436A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9743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FE11FADAD6405B97CC02D63D438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9B2A0-7D46-4994-8F9F-75CDA0EB7834}"/>
      </w:docPartPr>
      <w:docPartBody>
        <w:p w:rsidR="00F501A4" w:rsidRDefault="00DB64C7" w:rsidP="00DB64C7">
          <w:pPr>
            <w:pStyle w:val="CDFE11FADAD6405B97CC02D63D438CB0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FE7EE8ABB305475791752F7795FB6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C19A6-A1E2-4E23-9D32-D6B69D8853F3}"/>
      </w:docPartPr>
      <w:docPartBody>
        <w:p w:rsidR="00F501A4" w:rsidRDefault="00DB64C7" w:rsidP="00DB64C7">
          <w:pPr>
            <w:pStyle w:val="FE7EE8ABB305475791752F7795FB6025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998A9CD615CC4AF494E067407A58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E67FB-1FAE-4547-B619-B0967B7B8608}"/>
      </w:docPartPr>
      <w:docPartBody>
        <w:p w:rsidR="00F501A4" w:rsidRDefault="00DB64C7" w:rsidP="00DB64C7">
          <w:pPr>
            <w:pStyle w:val="998A9CD615CC4AF494E067407A58F22E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46B72A50DE0E40BABE001B355A1D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648F4-3148-4511-AE41-06DFD55FF362}"/>
      </w:docPartPr>
      <w:docPartBody>
        <w:p w:rsidR="00F501A4" w:rsidRDefault="00DB64C7" w:rsidP="00DB64C7">
          <w:pPr>
            <w:pStyle w:val="46B72A50DE0E40BABE001B355A1D0E71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64C7"/>
    <w:rsid w:val="00124723"/>
    <w:rsid w:val="009D7ADB"/>
    <w:rsid w:val="00A31BFD"/>
    <w:rsid w:val="00AD6703"/>
    <w:rsid w:val="00DB64C7"/>
    <w:rsid w:val="00F50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1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462E9A5B9D448CB12CCD54EBD93DF8">
    <w:name w:val="54462E9A5B9D448CB12CCD54EBD93DF8"/>
    <w:rsid w:val="00DB64C7"/>
  </w:style>
  <w:style w:type="paragraph" w:customStyle="1" w:styleId="53C6769A928F45C085049F994B0F1F67">
    <w:name w:val="53C6769A928F45C085049F994B0F1F67"/>
    <w:rsid w:val="00DB64C7"/>
  </w:style>
  <w:style w:type="paragraph" w:customStyle="1" w:styleId="EDBDB9D1B49649DC9891670C4D85737E">
    <w:name w:val="EDBDB9D1B49649DC9891670C4D85737E"/>
    <w:rsid w:val="00DB64C7"/>
  </w:style>
  <w:style w:type="paragraph" w:customStyle="1" w:styleId="8AD4F5C6EBBD4876B871746E2ADABBFC">
    <w:name w:val="8AD4F5C6EBBD4876B871746E2ADABBFC"/>
    <w:rsid w:val="00DB64C7"/>
  </w:style>
  <w:style w:type="paragraph" w:customStyle="1" w:styleId="ADE88DC64ED54AB68EDD3CB979099281">
    <w:name w:val="ADE88DC64ED54AB68EDD3CB979099281"/>
    <w:rsid w:val="00DB64C7"/>
  </w:style>
  <w:style w:type="paragraph" w:customStyle="1" w:styleId="7BD3446F237844838CD2DACB2D3B6597">
    <w:name w:val="7BD3446F237844838CD2DACB2D3B6597"/>
    <w:rsid w:val="00DB64C7"/>
  </w:style>
  <w:style w:type="paragraph" w:customStyle="1" w:styleId="CDFE11FADAD6405B97CC02D63D438CB0">
    <w:name w:val="CDFE11FADAD6405B97CC02D63D438CB0"/>
    <w:rsid w:val="00DB64C7"/>
  </w:style>
  <w:style w:type="paragraph" w:customStyle="1" w:styleId="FE7EE8ABB305475791752F7795FB6025">
    <w:name w:val="FE7EE8ABB305475791752F7795FB6025"/>
    <w:rsid w:val="00DB64C7"/>
  </w:style>
  <w:style w:type="paragraph" w:customStyle="1" w:styleId="998A9CD615CC4AF494E067407A58F22E">
    <w:name w:val="998A9CD615CC4AF494E067407A58F22E"/>
    <w:rsid w:val="00DB64C7"/>
  </w:style>
  <w:style w:type="paragraph" w:customStyle="1" w:styleId="46B72A50DE0E40BABE001B355A1D0E71">
    <w:name w:val="46B72A50DE0E40BABE001B355A1D0E71"/>
    <w:rsid w:val="00DB64C7"/>
  </w:style>
  <w:style w:type="paragraph" w:customStyle="1" w:styleId="B61F60726B884C84B9F634707B91A565">
    <w:name w:val="B61F60726B884C84B9F634707B91A565"/>
    <w:rsid w:val="00DB64C7"/>
  </w:style>
  <w:style w:type="paragraph" w:customStyle="1" w:styleId="DFFB35CA009A424FAF23995AB0085B79">
    <w:name w:val="DFFB35CA009A424FAF23995AB0085B79"/>
    <w:rsid w:val="00DB64C7"/>
  </w:style>
  <w:style w:type="character" w:styleId="PlaceholderText">
    <w:name w:val="Placeholder Text"/>
    <w:basedOn w:val="DefaultParagraphFont"/>
    <w:uiPriority w:val="99"/>
    <w:semiHidden/>
    <w:rsid w:val="00A31BF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77DC62-EB61-4275-A077-CBAD7EA9A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737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Statistiek</vt:lpstr>
      <vt:lpstr>Statistiek week 2</vt:lpstr>
    </vt:vector>
  </TitlesOfParts>
  <Company>Hanzehogeschool Groningen</Company>
  <LinksUpToDate>false</LinksUpToDate>
  <CharactersWithSpaces>4787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Statistiek</dc:title>
  <dc:subject>Week 3</dc:subject>
  <dc:creator>Studenten: Martine Dambrink (326694) en Caroline Lu (316187)</dc:creator>
  <cp:lastModifiedBy>martine dambrink</cp:lastModifiedBy>
  <cp:revision>2</cp:revision>
  <dcterms:created xsi:type="dcterms:W3CDTF">2015-05-28T17:35:00Z</dcterms:created>
  <dcterms:modified xsi:type="dcterms:W3CDTF">2015-05-28T17:35:00Z</dcterms:modified>
</cp:coreProperties>
</file>