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7"/>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7" w:type="dxa"/>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color w:val="AAB734"/>
              </w:rPr>
            </w:pPr>
            <w:r>
              <w:rPr>
                <w:b/>
                <w:color w:val="AAB734"/>
              </w:rPr>
              <w:t>Onderwerp:</w:t>
            </w:r>
          </w:p>
        </w:tc>
        <w:tc>
          <w:tcPr>
            <w:tcW w:w="6345" w:type="dxa"/>
            <w:tcBorders>
              <w:top w:val="single" w:color="AAB734" w:sz="4" w:space="0"/>
              <w:left w:val="single" w:color="AAB734" w:sz="4" w:space="0"/>
              <w:bottom w:val="single" w:color="AAB734" w:sz="4" w:space="0"/>
              <w:right w:val="single" w:color="AAB734" w:sz="4" w:space="0"/>
            </w:tcBorders>
          </w:tcPr>
          <w:p>
            <w:pPr>
              <w:spacing w:after="0" w:line="240" w:lineRule="auto"/>
            </w:pPr>
            <w:r>
              <w:t>Excursie Prysmian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7" w:type="dxa"/>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color w:val="AAB734"/>
              </w:rPr>
            </w:pPr>
            <w:r>
              <w:rPr>
                <w:b/>
                <w:color w:val="AAB734"/>
              </w:rPr>
              <w:t>Spreker:</w:t>
            </w:r>
          </w:p>
        </w:tc>
        <w:tc>
          <w:tcPr>
            <w:tcW w:w="6345" w:type="dxa"/>
            <w:tcBorders>
              <w:top w:val="single" w:color="AAB734" w:sz="4" w:space="0"/>
              <w:left w:val="single" w:color="AAB734" w:sz="4" w:space="0"/>
              <w:bottom w:val="single" w:color="AAB734" w:sz="4" w:space="0"/>
              <w:right w:val="single" w:color="AAB734" w:sz="4" w:space="0"/>
            </w:tcBorders>
          </w:tcPr>
          <w:p>
            <w:pPr>
              <w:spacing w:after="0" w:line="240" w:lineRule="auto"/>
            </w:pPr>
            <w:r>
              <w:t>Medewerkers &amp; graduate deelnemer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7" w:type="dxa"/>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rPr>
            </w:pPr>
            <w:r>
              <w:rPr>
                <w:b/>
                <w:color w:val="AAB734"/>
              </w:rPr>
              <w:t>Datum:</w:t>
            </w:r>
          </w:p>
        </w:tc>
        <w:tc>
          <w:tcPr>
            <w:tcW w:w="6345" w:type="dxa"/>
            <w:tcBorders>
              <w:top w:val="single" w:color="AAB734" w:sz="4" w:space="0"/>
              <w:left w:val="single" w:color="AAB734" w:sz="4" w:space="0"/>
              <w:bottom w:val="single" w:color="AAB734" w:sz="4" w:space="0"/>
              <w:right w:val="single" w:color="AAB734" w:sz="4" w:space="0"/>
            </w:tcBorders>
          </w:tcPr>
          <w:p>
            <w:pPr>
              <w:spacing w:after="0" w:line="240" w:lineRule="auto"/>
            </w:pPr>
            <w:r>
              <w:t>15-12-2016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9062" w:type="dxa"/>
            <w:gridSpan w:val="2"/>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rPr>
                <w:b/>
                <w:color w:val="AAB734"/>
              </w:rPr>
            </w:pPr>
            <w:r>
              <w:rPr>
                <w:b/>
                <w:color w:val="AAB734"/>
              </w:rPr>
              <w:t>Vragen: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9062" w:type="dxa"/>
            <w:gridSpan w:val="2"/>
            <w:tcBorders>
              <w:top w:val="single" w:color="AAB734" w:sz="4" w:space="0"/>
              <w:left w:val="single" w:color="AAB734" w:sz="4" w:space="0"/>
              <w:bottom w:val="single" w:color="AAB734" w:sz="4" w:space="0"/>
              <w:right w:val="single" w:color="AAB734" w:sz="4" w:space="0"/>
            </w:tcBorders>
          </w:tcPr>
          <w:p>
            <w:pPr>
              <w:pStyle w:val="17"/>
              <w:numPr>
                <w:ilvl w:val="0"/>
                <w:numId w:val="1"/>
              </w:numPr>
              <w:tabs>
                <w:tab w:val="left" w:pos="420"/>
              </w:tabs>
              <w:spacing w:after="0" w:line="240" w:lineRule="auto"/>
            </w:pPr>
            <w:r>
              <w:t>Welke aanvullende vereisten hebben hoogspanningskabels (boven</w:t>
            </w:r>
            <w:r>
              <w:rPr>
                <w:lang w:val="nl-NL"/>
              </w:rPr>
              <w:t xml:space="preserve"> 1</w:t>
            </w:r>
            <w:r>
              <w:t xml:space="preserve"> kV) ten opzichte van laagspanningskabels (</w:t>
            </w:r>
            <w:r>
              <w:rPr>
                <w:lang w:val="nl-NL"/>
              </w:rPr>
              <w:t>&lt; 1</w:t>
            </w:r>
            <w:r>
              <w:t xml:space="preserve"> kV)?</w:t>
            </w:r>
          </w:p>
          <w:p>
            <w:pPr>
              <w:pStyle w:val="17"/>
              <w:numPr>
                <w:ilvl w:val="0"/>
                <w:numId w:val="1"/>
              </w:numPr>
              <w:tabs>
                <w:tab w:val="left" w:pos="420"/>
              </w:tabs>
              <w:spacing w:after="0" w:line="240" w:lineRule="auto"/>
            </w:pPr>
            <w:r>
              <w:t>Zijn er verschillende typen kabels en waarvoor dienen deze?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62" w:type="dxa"/>
            <w:gridSpan w:val="2"/>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spacing w:after="0" w:line="240" w:lineRule="auto"/>
            </w:pPr>
            <w:r>
              <w:rPr>
                <w:b/>
                <w:color w:val="AAB734"/>
              </w:rPr>
              <w:t>Samenvatting: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9062" w:type="dxa"/>
            <w:gridSpan w:val="2"/>
            <w:tcBorders>
              <w:top w:val="single" w:color="AAB734" w:sz="4" w:space="0"/>
              <w:left w:val="single" w:color="AAB734" w:sz="4" w:space="0"/>
              <w:bottom w:val="single" w:color="AAB734" w:sz="4" w:space="0"/>
              <w:right w:val="single" w:color="AAB734" w:sz="4" w:space="0"/>
            </w:tcBorders>
          </w:tcPr>
          <w:p>
            <w:pPr>
              <w:pStyle w:val="17"/>
              <w:spacing w:after="0" w:line="240" w:lineRule="auto"/>
              <w:ind w:left="0"/>
            </w:pPr>
            <w:r>
              <w:t xml:space="preserve">Deze excursie omvatte een bezoek aan kabelfabrikant Prysmian. Eerst zijn een aantal algemene aspecten aan bod gekomen (wat Prysmian doet en welke (internationale) locaties zij hebben). Vervolgens zijn alle productieaspecten van de fabricage van hoogspanningskabels aan bod gekomen. </w:t>
            </w:r>
          </w:p>
          <w:p>
            <w:pPr>
              <w:pStyle w:val="17"/>
              <w:numPr>
                <w:ilvl w:val="0"/>
                <w:numId w:val="2"/>
              </w:numPr>
              <w:spacing w:after="0" w:line="240" w:lineRule="auto"/>
            </w:pPr>
            <w:r>
              <w:t>Er is een rondleiding gegeven waarbij het productieproces is doorlopen:</w:t>
            </w:r>
          </w:p>
          <w:p>
            <w:pPr>
              <w:pStyle w:val="17"/>
              <w:numPr>
                <w:ilvl w:val="0"/>
                <w:numId w:val="3"/>
              </w:numPr>
              <w:spacing w:after="0" w:line="240" w:lineRule="auto"/>
            </w:pPr>
            <w:r>
              <w:t>hoe een ader wordt vervaardigd;</w:t>
            </w:r>
          </w:p>
          <w:p>
            <w:pPr>
              <w:pStyle w:val="17"/>
              <w:numPr>
                <w:ilvl w:val="0"/>
                <w:numId w:val="3"/>
              </w:numPr>
              <w:spacing w:after="0" w:line="240" w:lineRule="auto"/>
            </w:pPr>
            <w:r>
              <w:t>hoe deze tot een grotere ader wordt gevlochten;</w:t>
            </w:r>
          </w:p>
          <w:p>
            <w:pPr>
              <w:pStyle w:val="17"/>
              <w:numPr>
                <w:ilvl w:val="0"/>
                <w:numId w:val="3"/>
              </w:numPr>
              <w:spacing w:after="0" w:line="240" w:lineRule="auto"/>
            </w:pPr>
            <w:r>
              <w:t>op welke wijze de aderen bij elkaar worden geassembleerd;</w:t>
            </w:r>
          </w:p>
          <w:p>
            <w:pPr>
              <w:pStyle w:val="17"/>
              <w:numPr>
                <w:ilvl w:val="0"/>
                <w:numId w:val="3"/>
              </w:numPr>
              <w:spacing w:after="0" w:line="240" w:lineRule="auto"/>
            </w:pPr>
            <w:r>
              <w:t>hoe de isolatie wordt aangebracht;</w:t>
            </w:r>
          </w:p>
          <w:p>
            <w:pPr>
              <w:pStyle w:val="17"/>
              <w:numPr>
                <w:ilvl w:val="0"/>
                <w:numId w:val="3"/>
              </w:numPr>
              <w:spacing w:after="0" w:line="240" w:lineRule="auto"/>
            </w:pPr>
            <w:r>
              <w:t>hoe de aardingsmantel wordt aangebracht (getoond aan de hand van een live lasdemonstratie);</w:t>
            </w:r>
          </w:p>
          <w:p>
            <w:pPr>
              <w:pStyle w:val="17"/>
              <w:numPr>
                <w:ilvl w:val="0"/>
                <w:numId w:val="3"/>
              </w:numPr>
              <w:spacing w:after="0" w:line="240" w:lineRule="auto"/>
            </w:pPr>
            <w:r>
              <w:t>hoe de kunsstof PE-mantel vervolgens wordt aangebracht en de kabel wordt afgemonteerd.</w:t>
            </w:r>
          </w:p>
          <w:p>
            <w:pPr>
              <w:pStyle w:val="17"/>
              <w:numPr>
                <w:ilvl w:val="0"/>
                <w:numId w:val="2"/>
              </w:numPr>
              <w:spacing w:after="0" w:line="240" w:lineRule="auto"/>
            </w:pPr>
            <w:r>
              <w:t xml:space="preserve">Na de rondleiding is een presentatie gegeven, waarin het productieproces theoretisch  is onderbouwd. Hierbij zijn de onder (1) genoemde punten aan bod gekomen. </w:t>
            </w:r>
          </w:p>
          <w:p>
            <w:pPr>
              <w:pStyle w:val="17"/>
              <w:numPr>
                <w:ilvl w:val="0"/>
                <w:numId w:val="2"/>
              </w:numPr>
              <w:spacing w:after="0" w:line="240" w:lineRule="auto"/>
            </w:pPr>
            <w:r>
              <w:t>Tot slot is er een presentatie gegeven over het Prysmian Graduate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9062" w:type="dxa"/>
            <w:gridSpan w:val="2"/>
            <w:tcBorders>
              <w:top w:val="single" w:color="AAB734" w:sz="4" w:space="0"/>
              <w:left w:val="single" w:color="AAB734" w:sz="4" w:space="0"/>
              <w:bottom w:val="single" w:color="AAB734" w:sz="4" w:space="0"/>
              <w:right w:val="single" w:color="AAB734" w:sz="4" w:space="0"/>
            </w:tcBorders>
            <w:shd w:val="clear" w:color="auto" w:fill="F1F1F1" w:themeFill="background1" w:themeFillShade="F2"/>
          </w:tcPr>
          <w:p>
            <w:pPr>
              <w:pStyle w:val="17"/>
              <w:spacing w:after="0" w:line="240" w:lineRule="auto"/>
              <w:ind w:left="0"/>
            </w:pPr>
            <w:r>
              <w:rPr>
                <w:b/>
                <w:color w:val="AAB734"/>
              </w:rPr>
              <w:t>Beantwoording vragen: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9062" w:type="dxa"/>
            <w:gridSpan w:val="2"/>
            <w:tcBorders>
              <w:top w:val="single" w:color="AAB734" w:sz="4" w:space="0"/>
              <w:left w:val="single" w:color="AAB734" w:sz="4" w:space="0"/>
              <w:bottom w:val="single" w:color="AAB734" w:sz="4" w:space="0"/>
              <w:right w:val="single" w:color="AAB734" w:sz="4" w:space="0"/>
            </w:tcBorders>
          </w:tcPr>
          <w:p>
            <w:pPr>
              <w:pStyle w:val="17"/>
              <w:numPr>
                <w:ilvl w:val="0"/>
                <w:numId w:val="4"/>
              </w:numPr>
              <w:spacing w:after="0" w:line="240" w:lineRule="auto"/>
              <w:ind w:left="360"/>
              <w:rPr>
                <w:b/>
                <w:color w:val="AAB734"/>
              </w:rPr>
            </w:pPr>
            <w:r>
              <w:t>Een belangrijke aanvullende vereiste van hoogspanningskabels is dat de aderen waterbestendig dienen te zijn. Dit is nodig zodat vocht zich niet door de kabel kan verspreiden, doordat dit in de kabel is gekomen. Vocht kan in de kabel terecht komen indien:</w:t>
            </w:r>
          </w:p>
          <w:p>
            <w:pPr>
              <w:pStyle w:val="17"/>
              <w:numPr>
                <w:ilvl w:val="0"/>
                <w:numId w:val="5"/>
              </w:numPr>
              <w:spacing w:after="0" w:line="240" w:lineRule="auto"/>
              <w:ind w:left="1086"/>
              <w:rPr>
                <w:b/>
                <w:color w:val="AAB734"/>
              </w:rPr>
            </w:pPr>
            <w:r>
              <w:t>er graafwerkzaamheden zijn en hierbij de kabel geraakt wordt. Door de isolatiebreuk kan er water direct in de aders terechtkomen, waardoor zonder waterbestendigheid de volledige kabel vervangen dient te worden. Het water zou dan namelijk door de hele ader kunnen verspreiden;</w:t>
            </w:r>
          </w:p>
          <w:p>
            <w:pPr>
              <w:pStyle w:val="17"/>
              <w:numPr>
                <w:ilvl w:val="0"/>
                <w:numId w:val="5"/>
              </w:numPr>
              <w:spacing w:after="0" w:line="240" w:lineRule="auto"/>
              <w:ind w:left="1086"/>
              <w:rPr>
                <w:b/>
                <w:color w:val="AAB734"/>
              </w:rPr>
            </w:pPr>
            <w:r>
              <w:t xml:space="preserve">er bij montage geen dop wordt geplaatst. Hetzelfde fenomeen als hierboven omschreven doet zich voor, waardoor de gehele kabel vervangen dient te worden. </w:t>
            </w:r>
          </w:p>
          <w:p>
            <w:pPr>
              <w:pStyle w:val="17"/>
              <w:spacing w:after="0" w:line="240" w:lineRule="auto"/>
              <w:ind w:left="363"/>
              <w:rPr>
                <w:b/>
                <w:color w:val="AAB734"/>
              </w:rPr>
            </w:pPr>
            <w:r>
              <w:t>Naast de waterbestendigheid hebben de hoogspanningskabels ook een andere opbouw. Deze hebben namelijk speciale isolatie (</w:t>
            </w:r>
            <w:r>
              <w:rPr>
                <w:lang w:val="nl-NL"/>
              </w:rPr>
              <w:t>een halfgeleider</w:t>
            </w:r>
            <w:bookmarkStart w:id="0" w:name="_GoBack"/>
            <w:bookmarkEnd w:id="0"/>
            <w:r>
              <w:t xml:space="preserve">) tussen de kern en aardingsmantel. De aardingsmantel is ook een aanvullende vereiste, deze zorgt ervoor dat eventuele kortsluitstromen worden afgevoerd. Ook zorgt deze ervoor dat de elektrische velden rondom deze kabels door de hoge spanningen die erover staan worden gereduceerd. Daarnaast is een kunststof PE-mantel aangebracht om overslagspanning te voorkomen. </w:t>
            </w:r>
          </w:p>
          <w:p>
            <w:pPr>
              <w:pStyle w:val="17"/>
              <w:numPr>
                <w:ilvl w:val="0"/>
                <w:numId w:val="4"/>
              </w:numPr>
              <w:spacing w:after="0" w:line="240" w:lineRule="auto"/>
              <w:ind w:left="360"/>
              <w:rPr>
                <w:color w:val="AAB734"/>
              </w:rPr>
            </w:pPr>
            <w:r>
              <w:t>Er zijn verschillende typen hoogspanningskabels. Zo worden de er kabels geleverd met glasvezels in de mantel, om dataoverdracht mogelijk te maken (zoals bijvoorbeeld de temperatuur van de betreffende kabel, of het ophalen van data van een windmolenpark). Daarnaast zijn er verschillende adertypen: enerzijds een zogenaamde “taartvorm”, waarbij driehoekige aderparen in een taartvorm worden geplaatst. Deze worden in het midden met een ronde ader gedicht. Dit wordt gebruikt bij grotere aderen, zodat het Skinn-effect</w:t>
            </w:r>
            <w:r>
              <w:rPr>
                <w:rStyle w:val="10"/>
              </w:rPr>
              <w:footnoteReference w:id="0"/>
            </w:r>
            <w:r>
              <w:t xml:space="preserve"> wordt verminderd.  </w:t>
            </w:r>
          </w:p>
        </w:tc>
      </w:tr>
    </w:tbl>
    <w:p/>
    <w:sectPr>
      <w:headerReference r:id="rId4" w:type="default"/>
      <w:footerReference r:id="rId5" w:type="default"/>
      <w:pgSz w:w="11906" w:h="16838"/>
      <w:pgMar w:top="1417" w:right="1417" w:bottom="1417" w:left="1417" w:header="340" w:footer="34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lang w:eastAsia="nl-NL"/>
      </w:rPr>
      <mc:AlternateContent>
        <mc:Choice Requires="wps">
          <w:drawing>
            <wp:anchor distT="45720" distB="45720" distL="114300" distR="114300" simplePos="0" relativeHeight="251658240" behindDoc="0" locked="0" layoutInCell="1" allowOverlap="1">
              <wp:simplePos x="0" y="0"/>
              <wp:positionH relativeFrom="column">
                <wp:posOffset>-309880</wp:posOffset>
              </wp:positionH>
              <wp:positionV relativeFrom="paragraph">
                <wp:posOffset>8890</wp:posOffset>
              </wp:positionV>
              <wp:extent cx="2162175" cy="309245"/>
              <wp:effectExtent l="0" t="0" r="9525" b="0"/>
              <wp:wrapSquare wrapText="bothSides"/>
              <wp:docPr id="217" name="Tekstvak 2"/>
              <wp:cNvGraphicFramePr/>
              <a:graphic xmlns:a="http://schemas.openxmlformats.org/drawingml/2006/main">
                <a:graphicData uri="http://schemas.microsoft.com/office/word/2010/wordprocessingShape">
                  <wps:wsp>
                    <wps:cNvSpPr txBox="1">
                      <a:spLocks noChangeArrowheads="1"/>
                    </wps:cNvSpPr>
                    <wps:spPr bwMode="auto">
                      <a:xfrm>
                        <a:off x="0" y="0"/>
                        <a:ext cx="2162175" cy="309245"/>
                      </a:xfrm>
                      <a:prstGeom prst="rect">
                        <a:avLst/>
                      </a:prstGeom>
                      <a:solidFill>
                        <a:srgbClr val="FFFFFF"/>
                      </a:solidFill>
                      <a:ln w="9525">
                        <a:noFill/>
                        <a:miter lim="800000"/>
                      </a:ln>
                    </wps:spPr>
                    <wps:txbx>
                      <w:txbxContent>
                        <w:p>
                          <w:r>
                            <w:rPr>
                              <w:color w:val="AAB734"/>
                            </w:rPr>
                            <w:t>Gastcollege -</w:t>
                          </w:r>
                          <w:r>
                            <w:t xml:space="preserve"> Week 4 vA01</w:t>
                          </w:r>
                        </w:p>
                      </w:txbxContent>
                    </wps:txbx>
                    <wps:bodyPr rot="0" vert="horz" wrap="square" lIns="91440" tIns="45720" rIns="91440" bIns="45720" anchor="t" anchorCtr="0">
                      <a:noAutofit/>
                    </wps:bodyPr>
                  </wps:wsp>
                </a:graphicData>
              </a:graphic>
            </wp:anchor>
          </w:drawing>
        </mc:Choice>
        <mc:Fallback>
          <w:pict>
            <v:shape id="Tekstvak 2" o:spid="_x0000_s1026" o:spt="202" type="#_x0000_t202" style="position:absolute;left:0pt;margin-left:-24.4pt;margin-top:0.7pt;height:24.35pt;width:170.25pt;mso-wrap-distance-bottom:3.6pt;mso-wrap-distance-left:9pt;mso-wrap-distance-right:9pt;mso-wrap-distance-top:3.6pt;z-index:251658240;mso-width-relative:page;mso-height-relative:page;" fillcolor="#FFFFFF" filled="t" stroked="f" coordsize="21600,21600" o:gfxdata="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5B06v1wAAAAgBAAAPAAAAAAAAAAEA&#10;IAAAACIAAABkcnMvZG93bnJldi54bWxQSwECFAAUAAAACACHTuJAdsUwYRACAAAFBAAADgAAAAAA&#10;AAABACAAAAAmAQAAZHJzL2Uyb0RvYy54bWxQSwUGAAAAAAYABgBZAQAAqAUAAAAA&#10;">
              <v:fill on="t" focussize="0,0"/>
              <v:stroke on="f" miterlimit="8" joinstyle="miter"/>
              <v:imagedata o:title=""/>
              <o:lock v:ext="edit" aspectratio="f"/>
              <v:textbox>
                <w:txbxContent>
                  <w:p>
                    <w:r>
                      <w:rPr>
                        <w:color w:val="AAB734"/>
                      </w:rPr>
                      <w:t>Gastcollege -</w:t>
                    </w:r>
                    <w:r>
                      <w:t xml:space="preserve"> Week 4 vA01</w:t>
                    </w:r>
                  </w:p>
                </w:txbxContent>
              </v:textbox>
              <w10:wrap type="square"/>
            </v:shape>
          </w:pict>
        </mc:Fallback>
      </mc:AlternateContent>
    </w:r>
    <w:sdt>
      <w:sdtPr>
        <w:id w:val="1492143449"/>
      </w:sdtPr>
      <w:sdtContent>
        <w:r>
          <w:rPr>
            <w:lang w:eastAsia="nl-NL"/>
          </w:rPr>
          <mc:AlternateContent>
            <mc:Choice Requires="wps">
              <w:drawing>
                <wp:anchor distT="0" distB="0" distL="114300" distR="114300" simplePos="0" relativeHeight="251659264" behindDoc="0" locked="0" layoutInCell="1" allowOverlap="1">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hoek 5" o:spid="_x0000_s1026" o:spt="1" style="position:absolute;left:0pt;margin-left:-489.5pt;margin-top:-19.2pt;height:3.65pt;width:1597.05pt;mso-position-horizontal-relative:page;z-index:251659264;v-text-anchor:middle;mso-width-relative:page;mso-height-relative:page;" fillcolor="#767171 [1614]" filled="t" stroked="t" coordsize="21600,21600" o:gfxdata="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MpPwn9sAAAANAQAADwAAAAAAAAABACAAAAAiAAAAZHJzL2Rvd25yZXYueG1sUEsBAhQAFAAAAAgA&#10;h07iQOL3p1lbAgAA7QQAAA4AAAAAAAAAAQAgAAAAKgEAAGRycy9lMm9Eb2MueG1sUEsFBgAAAAAG&#10;AAYAWQEAAPcFAAAAAA==&#10;">
                  <v:fill on="t" focussize="0,0"/>
                  <v:stroke weight="1pt" color="#767171 [1614]" miterlimit="8" joinstyle="miter"/>
                  <v:imagedata o:title=""/>
                  <o:lock v:ext="edit" aspectratio="f"/>
                </v:rect>
              </w:pict>
            </mc:Fallback>
          </mc:AlternateContent>
        </w:r>
        <w:r>
          <w:fldChar w:fldCharType="begin"/>
        </w:r>
        <w:r>
          <w:instrText xml:space="preserve">PAGE   \* MERGEFORMAT</w:instrText>
        </w:r>
        <w:r>
          <w:fldChar w:fldCharType="separate"/>
        </w:r>
        <w:r>
          <w:t>1</w:t>
        </w:r>
        <w:r>
          <w:fldChar w:fldCharType="end"/>
        </w:r>
      </w:sdtContent>
    </w:sdt>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pPr>
      <w:r>
        <w:rPr>
          <w:rStyle w:val="10"/>
        </w:rPr>
        <w:footnoteRef/>
      </w:r>
      <w:r>
        <w:t xml:space="preserve"> Zie: </w:t>
      </w:r>
      <w:r>
        <w:fldChar w:fldCharType="begin"/>
      </w:r>
      <w:r>
        <w:instrText xml:space="preserve"> HYPERLINK "http://weewave.mer.utexas.edu/MED_files/MED_research/Intrcncts/Skin_Effect_Ldr/MTT_96_skn_ldr.html" </w:instrText>
      </w:r>
      <w:r>
        <w:fldChar w:fldCharType="separate"/>
      </w:r>
      <w:r>
        <w:rPr>
          <w:rStyle w:val="11"/>
        </w:rPr>
        <w:t>http://weewave.mer.utexas.edu/MED_files/MED_research/Intrcncts/Skin_Effect_Ldr/MTT_96_skn_ldr.html</w:t>
      </w:r>
      <w:r>
        <w:rPr>
          <w:rStyle w:val="11"/>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4085" w:type="dxa"/>
      <w:tblInd w:w="-4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gridCol w:w="2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1" w:type="dxa"/>
        </w:tcPr>
        <w:p>
          <w:pPr>
            <w:pStyle w:val="7"/>
            <w:rPr>
              <w:color w:val="AAB734"/>
            </w:rPr>
          </w:pPr>
          <w:r>
            <w:rPr>
              <w:color w:val="AAB734"/>
            </w:rPr>
            <w:t>Projectgroep:</w:t>
          </w:r>
        </w:p>
      </w:tc>
      <w:tc>
        <w:tcPr>
          <w:tcW w:w="2384" w:type="dxa"/>
        </w:tcPr>
        <w:p>
          <w:pPr>
            <w:pStyle w:val="7"/>
          </w:pPr>
          <w:r>
            <w:t>Projectteam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1" w:type="dxa"/>
        </w:tcPr>
        <w:p>
          <w:pPr>
            <w:pStyle w:val="7"/>
            <w:rPr>
              <w:color w:val="AAB734"/>
            </w:rPr>
          </w:pPr>
          <w:r>
            <w:rPr>
              <w:color w:val="AAB734"/>
            </w:rPr>
            <w:t>Project:</w:t>
          </w:r>
        </w:p>
      </w:tc>
      <w:tc>
        <w:tcPr>
          <w:tcW w:w="2384" w:type="dxa"/>
        </w:tcPr>
        <w:p>
          <w:pPr>
            <w:pStyle w:val="7"/>
          </w:pPr>
          <w:r>
            <w:t>PROENT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1" w:type="dxa"/>
        </w:tcPr>
        <w:p>
          <w:pPr>
            <w:pStyle w:val="7"/>
            <w:rPr>
              <w:color w:val="AAB734"/>
            </w:rPr>
          </w:pPr>
          <w:r>
            <w:rPr>
              <w:color w:val="AAB734"/>
            </w:rPr>
            <w:t>Opdrachtgever:</w:t>
          </w:r>
        </w:p>
      </w:tc>
      <w:tc>
        <w:tcPr>
          <w:tcW w:w="2384" w:type="dxa"/>
        </w:tcPr>
        <w:p>
          <w:pPr>
            <w:pStyle w:val="7"/>
          </w:pPr>
          <w:r>
            <w:t>De Haagse Hogeschool</w:t>
          </w:r>
        </w:p>
      </w:tc>
    </w:tr>
  </w:tbl>
  <w:p>
    <w:pPr>
      <w:pStyle w:val="7"/>
    </w:pPr>
    <w:r>
      <w:rPr>
        <w:lang w:eastAsia="nl-NL"/>
      </w:rPr>
      <w:drawing>
        <wp:anchor distT="0" distB="0" distL="114300" distR="114300" simplePos="0" relativeHeight="251656192" behindDoc="1" locked="0" layoutInCell="1" allowOverlap="1">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lang w:eastAsia="nl-NL"/>
      </w:rPr>
      <mc:AlternateContent>
        <mc:Choice Requires="wps">
          <w:drawing>
            <wp:anchor distT="0" distB="0" distL="114300" distR="114300" simplePos="0" relativeHeight="251657216" behindDoc="0" locked="0" layoutInCell="1" allowOverlap="1">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hthoek 3" o:spid="_x0000_s1026" o:spt="1" style="position:absolute;left:0pt;margin-top:9.1pt;height:1.4pt;width:620.8pt;mso-position-horizontal:right;mso-position-horizontal-relative:page;z-index:251657216;v-text-anchor:middle;mso-width-relative:page;mso-height-relative:page;" fillcolor="#767171 [1614]" filled="t" stroked="t" coordsize="21600,21600" o:gfxdata="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pTbSTVAAAABwEA&#10;AA8AAAAAAAAAAQAgAAAAIgAAAGRycy9kb3ducmV2LnhtbFBLAQIUABQAAAAIAIdO4kDd6Cq1VgIA&#10;AOwEAAAOAAAAAAAAAAEAIAAAACQBAABkcnMvZTJvRG9jLnhtbFBLBQYAAAAABgAGAFkBAADsBQAA&#10;AAA=&#10;">
              <v:fill on="t" focussize="0,0"/>
              <v:stroke weight="1pt" color="#767171 [1614]"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C5B07"/>
    <w:multiLevelType w:val="multilevel"/>
    <w:tmpl w:val="418C5B07"/>
    <w:lvl w:ilvl="0" w:tentative="0">
      <w:start w:val="1"/>
      <w:numFmt w:val="bullet"/>
      <w:lvlText w:val=""/>
      <w:lvlJc w:val="left"/>
      <w:pPr>
        <w:ind w:left="720" w:hanging="360"/>
      </w:pPr>
      <w:rPr>
        <w:rFonts w:hint="default" w:ascii="Wingdings" w:hAnsi="Wingdings"/>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DF4C43"/>
    <w:multiLevelType w:val="multilevel"/>
    <w:tmpl w:val="48DF4C4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16E2B79"/>
    <w:multiLevelType w:val="multilevel"/>
    <w:tmpl w:val="516E2B79"/>
    <w:lvl w:ilvl="0" w:tentative="0">
      <w:start w:val="1"/>
      <w:numFmt w:val="decimal"/>
      <w:lvlText w:val="%1."/>
      <w:lvlJc w:val="left"/>
      <w:pPr>
        <w:ind w:left="720" w:hanging="360"/>
      </w:pPr>
      <w:rPr>
        <w:b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AED11CE"/>
    <w:multiLevelType w:val="multilevel"/>
    <w:tmpl w:val="5AED11C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75F04AA9"/>
    <w:multiLevelType w:val="multilevel"/>
    <w:tmpl w:val="75F04AA9"/>
    <w:lvl w:ilvl="0" w:tentative="0">
      <w:start w:val="1"/>
      <w:numFmt w:val="decimal"/>
      <w:lvlText w:val="%1."/>
      <w:lvlJc w:val="left"/>
      <w:pPr>
        <w:ind w:left="360" w:hanging="360"/>
      </w:pPr>
      <w:rPr>
        <w:b w:val="0"/>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000047ED"/>
    <w:rsid w:val="000618A1"/>
    <w:rsid w:val="00080486"/>
    <w:rsid w:val="000A472C"/>
    <w:rsid w:val="000C33A1"/>
    <w:rsid w:val="000E0CFD"/>
    <w:rsid w:val="000F49C1"/>
    <w:rsid w:val="0011354B"/>
    <w:rsid w:val="00116C21"/>
    <w:rsid w:val="00144763"/>
    <w:rsid w:val="00144ED1"/>
    <w:rsid w:val="00150D16"/>
    <w:rsid w:val="00154DD5"/>
    <w:rsid w:val="00166B25"/>
    <w:rsid w:val="00194BE1"/>
    <w:rsid w:val="001971A7"/>
    <w:rsid w:val="001C2579"/>
    <w:rsid w:val="001E6F6D"/>
    <w:rsid w:val="001F3D82"/>
    <w:rsid w:val="002052BD"/>
    <w:rsid w:val="00206CDC"/>
    <w:rsid w:val="00207B42"/>
    <w:rsid w:val="00213DFF"/>
    <w:rsid w:val="00214240"/>
    <w:rsid w:val="00233747"/>
    <w:rsid w:val="00235338"/>
    <w:rsid w:val="00242AB7"/>
    <w:rsid w:val="00252A3B"/>
    <w:rsid w:val="00266952"/>
    <w:rsid w:val="0029169F"/>
    <w:rsid w:val="0029260B"/>
    <w:rsid w:val="002B2CAF"/>
    <w:rsid w:val="002D3F46"/>
    <w:rsid w:val="002E08E7"/>
    <w:rsid w:val="002F0849"/>
    <w:rsid w:val="002F4135"/>
    <w:rsid w:val="0034290A"/>
    <w:rsid w:val="003608BF"/>
    <w:rsid w:val="00366AF9"/>
    <w:rsid w:val="00374320"/>
    <w:rsid w:val="0038028C"/>
    <w:rsid w:val="00380950"/>
    <w:rsid w:val="00397499"/>
    <w:rsid w:val="003A1D03"/>
    <w:rsid w:val="003D1A77"/>
    <w:rsid w:val="003F02CD"/>
    <w:rsid w:val="003F3FD4"/>
    <w:rsid w:val="004262DA"/>
    <w:rsid w:val="00445D84"/>
    <w:rsid w:val="00447C71"/>
    <w:rsid w:val="00456E8D"/>
    <w:rsid w:val="00463D82"/>
    <w:rsid w:val="004971A9"/>
    <w:rsid w:val="0049792B"/>
    <w:rsid w:val="004A37D2"/>
    <w:rsid w:val="004A756A"/>
    <w:rsid w:val="004B4A2B"/>
    <w:rsid w:val="004D1EF5"/>
    <w:rsid w:val="004E752F"/>
    <w:rsid w:val="0051215E"/>
    <w:rsid w:val="00521782"/>
    <w:rsid w:val="00535CCA"/>
    <w:rsid w:val="00562B3C"/>
    <w:rsid w:val="00577E4A"/>
    <w:rsid w:val="00583ABB"/>
    <w:rsid w:val="005A266A"/>
    <w:rsid w:val="005D1C7C"/>
    <w:rsid w:val="005D42FC"/>
    <w:rsid w:val="005D5399"/>
    <w:rsid w:val="005D6673"/>
    <w:rsid w:val="005E23CB"/>
    <w:rsid w:val="005F0A32"/>
    <w:rsid w:val="005F1DA5"/>
    <w:rsid w:val="00603425"/>
    <w:rsid w:val="00605753"/>
    <w:rsid w:val="0064037F"/>
    <w:rsid w:val="006545A7"/>
    <w:rsid w:val="00664F88"/>
    <w:rsid w:val="0067024C"/>
    <w:rsid w:val="0067173C"/>
    <w:rsid w:val="00685BC0"/>
    <w:rsid w:val="00694FE2"/>
    <w:rsid w:val="006B3196"/>
    <w:rsid w:val="006B7368"/>
    <w:rsid w:val="006F1770"/>
    <w:rsid w:val="006F2A61"/>
    <w:rsid w:val="00702929"/>
    <w:rsid w:val="00750B68"/>
    <w:rsid w:val="00767E53"/>
    <w:rsid w:val="00773E87"/>
    <w:rsid w:val="007841C8"/>
    <w:rsid w:val="00792C45"/>
    <w:rsid w:val="007A2106"/>
    <w:rsid w:val="007B6AB6"/>
    <w:rsid w:val="007E70D6"/>
    <w:rsid w:val="008406AD"/>
    <w:rsid w:val="008451D2"/>
    <w:rsid w:val="00846490"/>
    <w:rsid w:val="008577D5"/>
    <w:rsid w:val="008645C1"/>
    <w:rsid w:val="0087401D"/>
    <w:rsid w:val="008817BA"/>
    <w:rsid w:val="0088631D"/>
    <w:rsid w:val="008B5607"/>
    <w:rsid w:val="008B6B57"/>
    <w:rsid w:val="008C18DD"/>
    <w:rsid w:val="008C2184"/>
    <w:rsid w:val="008C4841"/>
    <w:rsid w:val="008E062D"/>
    <w:rsid w:val="00942A8D"/>
    <w:rsid w:val="00980659"/>
    <w:rsid w:val="00990C4D"/>
    <w:rsid w:val="00990F4B"/>
    <w:rsid w:val="009B124F"/>
    <w:rsid w:val="009C2D8C"/>
    <w:rsid w:val="009C4FA5"/>
    <w:rsid w:val="009D4E38"/>
    <w:rsid w:val="00A33A90"/>
    <w:rsid w:val="00A361A8"/>
    <w:rsid w:val="00A37A2A"/>
    <w:rsid w:val="00A40C69"/>
    <w:rsid w:val="00A57FFC"/>
    <w:rsid w:val="00A706E5"/>
    <w:rsid w:val="00A708D9"/>
    <w:rsid w:val="00AC1DB5"/>
    <w:rsid w:val="00AC2BFD"/>
    <w:rsid w:val="00AD42D6"/>
    <w:rsid w:val="00AE2103"/>
    <w:rsid w:val="00AF551E"/>
    <w:rsid w:val="00AF5B52"/>
    <w:rsid w:val="00B041FD"/>
    <w:rsid w:val="00B3325C"/>
    <w:rsid w:val="00B33BCE"/>
    <w:rsid w:val="00B37CE1"/>
    <w:rsid w:val="00B60F3B"/>
    <w:rsid w:val="00B726EB"/>
    <w:rsid w:val="00B77AA7"/>
    <w:rsid w:val="00BA1170"/>
    <w:rsid w:val="00BA17BC"/>
    <w:rsid w:val="00BA1A77"/>
    <w:rsid w:val="00BB3A4F"/>
    <w:rsid w:val="00BC3250"/>
    <w:rsid w:val="00BE2BC6"/>
    <w:rsid w:val="00BF08B1"/>
    <w:rsid w:val="00BF1568"/>
    <w:rsid w:val="00C0351E"/>
    <w:rsid w:val="00C20EFE"/>
    <w:rsid w:val="00C45F11"/>
    <w:rsid w:val="00C473AD"/>
    <w:rsid w:val="00C60328"/>
    <w:rsid w:val="00C66AE8"/>
    <w:rsid w:val="00C80B2E"/>
    <w:rsid w:val="00C81CF0"/>
    <w:rsid w:val="00C94EF9"/>
    <w:rsid w:val="00C967C3"/>
    <w:rsid w:val="00CB6C47"/>
    <w:rsid w:val="00CB7E94"/>
    <w:rsid w:val="00CC3001"/>
    <w:rsid w:val="00CD0969"/>
    <w:rsid w:val="00CD2EE3"/>
    <w:rsid w:val="00CF476C"/>
    <w:rsid w:val="00D06844"/>
    <w:rsid w:val="00D16E84"/>
    <w:rsid w:val="00D22A97"/>
    <w:rsid w:val="00D532D7"/>
    <w:rsid w:val="00D7037B"/>
    <w:rsid w:val="00D7423C"/>
    <w:rsid w:val="00D77326"/>
    <w:rsid w:val="00D86430"/>
    <w:rsid w:val="00D9091E"/>
    <w:rsid w:val="00D92FA7"/>
    <w:rsid w:val="00D94A8B"/>
    <w:rsid w:val="00DA36BE"/>
    <w:rsid w:val="00DA4A14"/>
    <w:rsid w:val="00DA68E5"/>
    <w:rsid w:val="00DB6569"/>
    <w:rsid w:val="00DC3624"/>
    <w:rsid w:val="00DF0AD8"/>
    <w:rsid w:val="00DF54D4"/>
    <w:rsid w:val="00DF7CF7"/>
    <w:rsid w:val="00E07F03"/>
    <w:rsid w:val="00E2680A"/>
    <w:rsid w:val="00E66C7B"/>
    <w:rsid w:val="00E878B6"/>
    <w:rsid w:val="00E91E9C"/>
    <w:rsid w:val="00EA4AD0"/>
    <w:rsid w:val="00EB257B"/>
    <w:rsid w:val="00EC4B6B"/>
    <w:rsid w:val="00ED4581"/>
    <w:rsid w:val="00EF0F84"/>
    <w:rsid w:val="00EF2850"/>
    <w:rsid w:val="00EF2D5A"/>
    <w:rsid w:val="00F042A2"/>
    <w:rsid w:val="00F12C88"/>
    <w:rsid w:val="00F23E4D"/>
    <w:rsid w:val="00F30E3E"/>
    <w:rsid w:val="00F37416"/>
    <w:rsid w:val="00F413CE"/>
    <w:rsid w:val="00F50A36"/>
    <w:rsid w:val="00F5547F"/>
    <w:rsid w:val="00F60DDF"/>
    <w:rsid w:val="00F70CE0"/>
    <w:rsid w:val="00F851C5"/>
    <w:rsid w:val="00F90044"/>
    <w:rsid w:val="00F94CF7"/>
    <w:rsid w:val="00FB1822"/>
    <w:rsid w:val="00FF3AEB"/>
    <w:rsid w:val="068C6ACA"/>
    <w:rsid w:val="514A216C"/>
    <w:rsid w:val="661B7559"/>
    <w:rsid w:val="756B67C9"/>
    <w:rsid w:val="7FBD59F6"/>
    <w:rsid w:val="F75EBC40"/>
  </w:rsids>
  <m:mathPr>
    <m:lMargin m:val="0"/>
    <m:mathFont m:val="Cambria Math"/>
    <m:rMargin m:val="0"/>
    <m:wrapIndent m:val="1440"/>
    <m:brkBin m:val="before"/>
    <m:brkBinSub m:val="--"/>
    <m:defJc m:val="centerGroup"/>
    <m:intLim m:val="subSup"/>
    <m:naryLim m:val="undOvr"/>
    <m:smallFrac m:val="0"/>
    <m:dispDef/>
  </m:mathPr>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nl-NL" w:eastAsia="en-US" w:bidi="ar-SA"/>
    </w:rPr>
  </w:style>
  <w:style w:type="character" w:default="1" w:styleId="8">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20"/>
    <w:unhideWhenUsed/>
    <w:uiPriority w:val="99"/>
    <w:pPr>
      <w:spacing w:after="0" w:line="240" w:lineRule="auto"/>
    </w:pPr>
    <w:rPr>
      <w:rFonts w:ascii="Segoe UI" w:hAnsi="Segoe UI" w:cs="Segoe UI"/>
      <w:sz w:val="18"/>
      <w:szCs w:val="18"/>
    </w:rPr>
  </w:style>
  <w:style w:type="paragraph" w:styleId="3">
    <w:name w:val="annotation text"/>
    <w:basedOn w:val="1"/>
    <w:link w:val="18"/>
    <w:unhideWhenUsed/>
    <w:qFormat/>
    <w:uiPriority w:val="99"/>
    <w:pPr>
      <w:spacing w:line="240" w:lineRule="auto"/>
    </w:pPr>
    <w:rPr>
      <w:sz w:val="20"/>
      <w:szCs w:val="20"/>
    </w:rPr>
  </w:style>
  <w:style w:type="paragraph" w:styleId="4">
    <w:name w:val="annotation subject"/>
    <w:basedOn w:val="3"/>
    <w:next w:val="3"/>
    <w:link w:val="19"/>
    <w:unhideWhenUsed/>
    <w:uiPriority w:val="99"/>
    <w:rPr>
      <w:b/>
      <w:bCs/>
    </w:rPr>
  </w:style>
  <w:style w:type="paragraph" w:styleId="5">
    <w:name w:val="footer"/>
    <w:basedOn w:val="1"/>
    <w:link w:val="15"/>
    <w:unhideWhenUsed/>
    <w:qFormat/>
    <w:uiPriority w:val="99"/>
    <w:pPr>
      <w:tabs>
        <w:tab w:val="center" w:pos="4536"/>
        <w:tab w:val="right" w:pos="9072"/>
      </w:tabs>
      <w:spacing w:after="0" w:line="240" w:lineRule="auto"/>
    </w:pPr>
  </w:style>
  <w:style w:type="paragraph" w:styleId="6">
    <w:name w:val="footnote text"/>
    <w:basedOn w:val="1"/>
    <w:link w:val="21"/>
    <w:unhideWhenUsed/>
    <w:uiPriority w:val="99"/>
    <w:pPr>
      <w:spacing w:after="0" w:line="240" w:lineRule="auto"/>
    </w:pPr>
    <w:rPr>
      <w:sz w:val="20"/>
      <w:szCs w:val="20"/>
    </w:rPr>
  </w:style>
  <w:style w:type="paragraph" w:styleId="7">
    <w:name w:val="header"/>
    <w:basedOn w:val="1"/>
    <w:link w:val="14"/>
    <w:unhideWhenUsed/>
    <w:uiPriority w:val="99"/>
    <w:pPr>
      <w:tabs>
        <w:tab w:val="center" w:pos="4536"/>
        <w:tab w:val="right" w:pos="9072"/>
      </w:tabs>
      <w:spacing w:after="0" w:line="240" w:lineRule="auto"/>
    </w:pPr>
  </w:style>
  <w:style w:type="character" w:styleId="9">
    <w:name w:val="annotation reference"/>
    <w:basedOn w:val="8"/>
    <w:unhideWhenUsed/>
    <w:uiPriority w:val="99"/>
    <w:rPr>
      <w:sz w:val="16"/>
      <w:szCs w:val="16"/>
    </w:rPr>
  </w:style>
  <w:style w:type="character" w:styleId="10">
    <w:name w:val="footnote reference"/>
    <w:basedOn w:val="8"/>
    <w:unhideWhenUsed/>
    <w:uiPriority w:val="99"/>
    <w:rPr>
      <w:vertAlign w:val="superscript"/>
    </w:rPr>
  </w:style>
  <w:style w:type="character" w:styleId="11">
    <w:name w:val="Hyperlink"/>
    <w:basedOn w:val="8"/>
    <w:unhideWhenUsed/>
    <w:uiPriority w:val="99"/>
    <w:rPr>
      <w:color w:val="0563C1" w:themeColor="hyperlink"/>
      <w:u w:val="single"/>
      <w14:textFill>
        <w14:solidFill>
          <w14:schemeClr w14:val="hlink"/>
        </w14:solidFill>
      </w14:textFill>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Koptekst Char"/>
    <w:basedOn w:val="8"/>
    <w:link w:val="7"/>
    <w:qFormat/>
    <w:uiPriority w:val="99"/>
  </w:style>
  <w:style w:type="character" w:customStyle="1" w:styleId="15">
    <w:name w:val="Voettekst Char"/>
    <w:basedOn w:val="8"/>
    <w:link w:val="5"/>
    <w:qFormat/>
    <w:uiPriority w:val="99"/>
  </w:style>
  <w:style w:type="paragraph" w:customStyle="1" w:styleId="16">
    <w:name w:val="Lijstalinea1"/>
    <w:basedOn w:val="1"/>
    <w:qFormat/>
    <w:uiPriority w:val="34"/>
    <w:pPr>
      <w:ind w:left="720"/>
      <w:contextualSpacing/>
    </w:pPr>
  </w:style>
  <w:style w:type="paragraph" w:customStyle="1" w:styleId="17">
    <w:name w:val="Lijstalinea2"/>
    <w:basedOn w:val="1"/>
    <w:uiPriority w:val="99"/>
    <w:pPr>
      <w:ind w:left="720"/>
      <w:contextualSpacing/>
    </w:pPr>
  </w:style>
  <w:style w:type="character" w:customStyle="1" w:styleId="18">
    <w:name w:val="Tekst opmerking Char"/>
    <w:basedOn w:val="8"/>
    <w:link w:val="3"/>
    <w:semiHidden/>
    <w:uiPriority w:val="99"/>
    <w:rPr>
      <w:lang w:eastAsia="en-US"/>
    </w:rPr>
  </w:style>
  <w:style w:type="character" w:customStyle="1" w:styleId="19">
    <w:name w:val="Onderwerp van opmerking Char"/>
    <w:basedOn w:val="18"/>
    <w:link w:val="4"/>
    <w:semiHidden/>
    <w:uiPriority w:val="99"/>
    <w:rPr>
      <w:b/>
      <w:bCs/>
      <w:lang w:eastAsia="en-US"/>
    </w:rPr>
  </w:style>
  <w:style w:type="character" w:customStyle="1" w:styleId="20">
    <w:name w:val="Ballontekst Char"/>
    <w:basedOn w:val="8"/>
    <w:link w:val="2"/>
    <w:semiHidden/>
    <w:uiPriority w:val="99"/>
    <w:rPr>
      <w:rFonts w:ascii="Segoe UI" w:hAnsi="Segoe UI" w:cs="Segoe UI"/>
      <w:sz w:val="18"/>
      <w:szCs w:val="18"/>
      <w:lang w:eastAsia="en-US"/>
    </w:rPr>
  </w:style>
  <w:style w:type="character" w:customStyle="1" w:styleId="21">
    <w:name w:val="Voetnoottekst Char"/>
    <w:basedOn w:val="8"/>
    <w:link w:val="6"/>
    <w:semiHidden/>
    <w:uiPriority w:val="99"/>
    <w:rPr>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DD79A-714B-4145-A844-4BF7BF519BAE}">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461</Words>
  <Characters>2538</Characters>
  <Lines>21</Lines>
  <Paragraphs>5</Paragraphs>
  <TotalTime>0</TotalTime>
  <ScaleCrop>false</ScaleCrop>
  <LinksUpToDate>false</LinksUpToDate>
  <CharactersWithSpaces>2994</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2016-11-24T18:39:00Z</dcterms:created>
  <dc:creator>Martijn van Essen</dc:creator>
  <cp:lastModifiedBy>marti</cp:lastModifiedBy>
  <cp:lastPrinted>2016-09-13T07:33:00Z</cp:lastPrinted>
  <dcterms:modified xsi:type="dcterms:W3CDTF">2016-12-19T15:47:34Z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y fmtid="{D5CDD505-2E9C-101B-9397-08002B2CF9AE}" pid="3" name="ContentTypeId">
    <vt:lpwstr>0x01010033E9D09C57E4594C9C9D8B274454AC17</vt:lpwstr>
  </property>
</Properties>
</file>