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3774" w14:textId="77777777" w:rsidR="00D32804" w:rsidRPr="00D32804" w:rsidRDefault="00E75E91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 10969/</w:t>
      </w:r>
      <w:r w:rsidR="00D32804" w:rsidRPr="00D32804">
        <w:rPr>
          <w:rFonts w:ascii="Times New Roman" w:hAnsi="Times New Roman"/>
          <w:sz w:val="24"/>
          <w:szCs w:val="24"/>
        </w:rPr>
        <w:t>12.7TBVNG.P1.S1</w:t>
      </w:r>
    </w:p>
    <w:p w14:paraId="0C1A2334" w14:textId="77777777" w:rsid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2804">
        <w:rPr>
          <w:rFonts w:ascii="Times New Roman" w:hAnsi="Times New Roman"/>
          <w:sz w:val="24"/>
          <w:szCs w:val="24"/>
        </w:rPr>
        <w:t>6ª SECÇÃO</w:t>
      </w:r>
    </w:p>
    <w:p w14:paraId="61C52EFF" w14:textId="77777777" w:rsidR="00465F64" w:rsidRDefault="00465F6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A8D3D0" w14:textId="77777777" w:rsidR="003A1766" w:rsidRDefault="003A1766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D2B0F9" w14:textId="77777777" w:rsidR="003A1766" w:rsidRPr="00D32804" w:rsidRDefault="003A1766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ACORDAM, EM CONFERÊNCIA, NO SUPREMO TRIBUNAL DE JUSTIÇA</w:t>
      </w:r>
    </w:p>
    <w:p w14:paraId="1CDC1534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263013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2804">
        <w:rPr>
          <w:rFonts w:ascii="Times New Roman" w:hAnsi="Times New Roman"/>
          <w:sz w:val="24"/>
          <w:szCs w:val="24"/>
        </w:rPr>
        <w:t>RUI MANUEL LUSQUINHOS DE OLIVEIRA e MANUELA MARIA RIBEIRO GONÇALVES LUSQUINHOS, apresentaram-se à insolvência e requereram a exoneração d</w:t>
      </w:r>
      <w:r>
        <w:rPr>
          <w:rFonts w:ascii="Times New Roman" w:hAnsi="Times New Roman"/>
          <w:sz w:val="24"/>
          <w:szCs w:val="24"/>
        </w:rPr>
        <w:t>o passivo restante, tendo aquela</w:t>
      </w:r>
      <w:r w:rsidRPr="00D32804">
        <w:rPr>
          <w:rFonts w:ascii="Times New Roman" w:hAnsi="Times New Roman"/>
          <w:sz w:val="24"/>
          <w:szCs w:val="24"/>
        </w:rPr>
        <w:t xml:space="preserve"> sido declarada e proferido despacho de admissão liminar do incidente de exoneração do passivo restante datado de 19 de maio de 2015, o qual foi processado nos próprios autos, tendo-se fixado como objecto da cessão todo o rendimento mensal dos insolventes que excedesse dois salários mínimos nacionais.</w:t>
      </w:r>
    </w:p>
    <w:p w14:paraId="4E0F2DFB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63D14C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2804">
        <w:rPr>
          <w:rFonts w:ascii="Times New Roman" w:hAnsi="Times New Roman"/>
          <w:sz w:val="24"/>
          <w:szCs w:val="24"/>
        </w:rPr>
        <w:t>Decorrido o prazo da cessão, o fiduciário apresentou o último relatório, acusando a falta de entrega de rendimentos a ceder no montante de € 9.735,93.</w:t>
      </w:r>
    </w:p>
    <w:p w14:paraId="0B6125A8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2804">
        <w:rPr>
          <w:rFonts w:ascii="Times New Roman" w:hAnsi="Times New Roman"/>
          <w:sz w:val="24"/>
          <w:szCs w:val="24"/>
        </w:rPr>
        <w:t xml:space="preserve"> </w:t>
      </w:r>
    </w:p>
    <w:p w14:paraId="28EE57BA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2804">
        <w:rPr>
          <w:rFonts w:ascii="Times New Roman" w:hAnsi="Times New Roman"/>
          <w:sz w:val="24"/>
          <w:szCs w:val="24"/>
        </w:rPr>
        <w:t>Confrontados com este requerimento, os insolventes apresentaram requerimento alegando que em 42 meses dos 60 meses da fidúcia, os insolventes não alcançaram o rendimento indisponível fixado, que a ideia que preside à fixação do rendimento indisponível é assegurar a sobrevivência do insolvente durante o período de cessão e que por isso mesmo o cálculo do rendimento disponível deve ser feito forma anual, garantindo, desta forma, a equidade dos valores a entregar e do real rendimento disponível dos insolventes.</w:t>
      </w:r>
    </w:p>
    <w:p w14:paraId="5AA84F2A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F1DAE0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2804">
        <w:rPr>
          <w:rFonts w:ascii="Times New Roman" w:hAnsi="Times New Roman"/>
          <w:sz w:val="24"/>
          <w:szCs w:val="24"/>
        </w:rPr>
        <w:t>Sobre este requerimento recaiu o seguinte despacho judicial:</w:t>
      </w:r>
    </w:p>
    <w:p w14:paraId="2A6663F8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32804">
        <w:rPr>
          <w:rFonts w:ascii="Times New Roman" w:hAnsi="Times New Roman"/>
          <w:sz w:val="24"/>
          <w:szCs w:val="24"/>
        </w:rPr>
        <w:t>«</w:t>
      </w:r>
      <w:r w:rsidRPr="00D32804">
        <w:rPr>
          <w:rFonts w:ascii="Times New Roman" w:hAnsi="Times New Roman"/>
          <w:i/>
          <w:sz w:val="24"/>
          <w:szCs w:val="24"/>
        </w:rPr>
        <w:t>Salvo o devido respeito pelo entendimento preconizado pelos insolventes, temos por certo que a forma de cálculo do montante a ceder à fidúcia preconizada pelo Sr. Fiduciário é a correcta por estar de acordo com o disposto no art. 239.º, n.º 4, al. c) do CIRE.</w:t>
      </w:r>
    </w:p>
    <w:p w14:paraId="3515FB75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D32804">
        <w:rPr>
          <w:rFonts w:ascii="Times New Roman" w:hAnsi="Times New Roman"/>
          <w:i/>
          <w:sz w:val="24"/>
          <w:szCs w:val="24"/>
        </w:rPr>
        <w:t>Pelo contrário, a forma de cálculo preconizada pelos insolventes – que no fundo se reconduz à consideração do período de cessão de 5 anos como um todo, dividindo-se a totalidade dos rendimentos obtidos nesse período por 60 meses – não tem qualquer correspondência com a lei e, como tal, não pode ser aceite.</w:t>
      </w:r>
    </w:p>
    <w:p w14:paraId="275C9398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2804">
        <w:rPr>
          <w:rFonts w:ascii="Times New Roman" w:hAnsi="Times New Roman"/>
          <w:i/>
          <w:sz w:val="24"/>
          <w:szCs w:val="24"/>
        </w:rPr>
        <w:t>Nessa medida e sem mais indefiro ao requerido pelos insolventes no requerimento que antecede, concedendo-lhes o último e definitivo prazo de 20 dias para que comprovem nos autos o pagamento da quantia indicada pelo Sr. Fiduciário como estando em dívida à fidúcia, após o que será proferida decisão final sobre o procedimento de exoneração do passivo restante.</w:t>
      </w:r>
      <w:r w:rsidRPr="00D32804">
        <w:rPr>
          <w:rFonts w:ascii="Times New Roman" w:hAnsi="Times New Roman"/>
          <w:sz w:val="24"/>
          <w:szCs w:val="24"/>
        </w:rPr>
        <w:t>»</w:t>
      </w:r>
    </w:p>
    <w:p w14:paraId="2596EAC3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B90BB0" w14:textId="77777777" w:rsid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32804">
        <w:rPr>
          <w:rFonts w:ascii="Times New Roman" w:hAnsi="Times New Roman"/>
          <w:sz w:val="24"/>
          <w:szCs w:val="24"/>
        </w:rPr>
        <w:t>Do assim decidido, os Insolventes interpuseram recurso de Apelação, o qual veio a ser julgado improcedente, com a confirmação do despacho recorrido, do qual, irresignados, aqueles recorrem, agora, de Revista, nos termos do artigo 14º, nº1 do CIRE, por oposição do julgad</w:t>
      </w:r>
      <w:r>
        <w:rPr>
          <w:rFonts w:ascii="Times New Roman" w:hAnsi="Times New Roman"/>
          <w:sz w:val="24"/>
          <w:szCs w:val="24"/>
        </w:rPr>
        <w:t xml:space="preserve">o com outros dois Acórdãos, um </w:t>
      </w:r>
      <w:r w:rsidRPr="00D32804">
        <w:rPr>
          <w:rFonts w:ascii="Times New Roman" w:hAnsi="Times New Roman"/>
          <w:sz w:val="24"/>
          <w:szCs w:val="24"/>
        </w:rPr>
        <w:t>da Re</w:t>
      </w:r>
      <w:r>
        <w:rPr>
          <w:rFonts w:ascii="Times New Roman" w:hAnsi="Times New Roman"/>
          <w:sz w:val="24"/>
          <w:szCs w:val="24"/>
        </w:rPr>
        <w:t>lação de Évora datado de 17 de J</w:t>
      </w:r>
      <w:r w:rsidRPr="00D32804">
        <w:rPr>
          <w:rFonts w:ascii="Times New Roman" w:hAnsi="Times New Roman"/>
          <w:sz w:val="24"/>
          <w:szCs w:val="24"/>
        </w:rPr>
        <w:t>aneiro de 2019 e outro da Relação de Lisboa, datado de 22 de Setembro de 2020, cujas cópias retir</w:t>
      </w:r>
      <w:r>
        <w:rPr>
          <w:rFonts w:ascii="Times New Roman" w:hAnsi="Times New Roman"/>
          <w:sz w:val="24"/>
          <w:szCs w:val="24"/>
        </w:rPr>
        <w:t>adas da base de dados da DGI fizeram</w:t>
      </w:r>
      <w:r w:rsidRPr="00D32804">
        <w:rPr>
          <w:rFonts w:ascii="Times New Roman" w:hAnsi="Times New Roman"/>
          <w:sz w:val="24"/>
          <w:szCs w:val="24"/>
        </w:rPr>
        <w:t xml:space="preserve"> juntar com as alegações.</w:t>
      </w:r>
    </w:p>
    <w:p w14:paraId="3B023867" w14:textId="77777777" w:rsid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3A9C9C" w14:textId="77777777" w:rsidR="00511C9F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Porque a Relatora entendeu que não seria possível conhecer do objecto do recurso, ordenou a audição das partes nos termos do </w:t>
      </w:r>
      <w:r w:rsidRPr="00D32804">
        <w:rPr>
          <w:rFonts w:ascii="Times New Roman" w:hAnsi="Times New Roman"/>
          <w:sz w:val="24"/>
          <w:szCs w:val="24"/>
        </w:rPr>
        <w:t>preceituado nos artigos 655º, nº1 aplicável por força do artigo 679º, este como aquele</w:t>
      </w:r>
      <w:r w:rsidR="00511C9F">
        <w:rPr>
          <w:rFonts w:ascii="Times New Roman" w:hAnsi="Times New Roman"/>
          <w:sz w:val="24"/>
          <w:szCs w:val="24"/>
        </w:rPr>
        <w:t xml:space="preserve"> do CPCivil e 17º, nº1 do CIRE.</w:t>
      </w:r>
    </w:p>
    <w:p w14:paraId="6696FAAA" w14:textId="77777777" w:rsid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1B3E79" w14:textId="77777777" w:rsid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Insolventes pronunciaram-se nos seguintes termos, no que à economia da problemática em equação diz respeito:</w:t>
      </w:r>
      <w:r w:rsidR="00D32804">
        <w:rPr>
          <w:rFonts w:ascii="Times New Roman" w:hAnsi="Times New Roman"/>
          <w:sz w:val="24"/>
          <w:szCs w:val="24"/>
        </w:rPr>
        <w:t xml:space="preserve"> </w:t>
      </w:r>
      <w:r w:rsidR="00D32804" w:rsidRPr="00D32804">
        <w:rPr>
          <w:rFonts w:ascii="Times New Roman" w:hAnsi="Times New Roman"/>
          <w:sz w:val="24"/>
          <w:szCs w:val="24"/>
        </w:rPr>
        <w:t xml:space="preserve"> </w:t>
      </w:r>
    </w:p>
    <w:p w14:paraId="35388552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O valor do processo de insolvência indicado na Petição inicial foi de € 5.000,01.</w:t>
      </w:r>
    </w:p>
    <w:p w14:paraId="545F5AB4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Em processo de insolvência é certo que, as regras de indicação do valor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causa se regem, prima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facie, pelo preceituado no artigo 15º do CIRE.</w:t>
      </w:r>
    </w:p>
    <w:p w14:paraId="692782E8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O mesmo é dizer que, o processo terá o valor do activo que tiver sido indicado pelos Insolventes, o qual será corrigido logo que se verifique ser diverso do valor real.</w:t>
      </w:r>
    </w:p>
    <w:p w14:paraId="2BD5DE1E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Dispõe o artigo 15.º do CIRE que, para efeitos processuais, o valor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da ação é determinado sobre o valor do ativo do devedor indicado na petição, que é corrigido logo que se verifique ser diferente o valor real. 6º.- Daqui deflui que, pouco importa qual seja o valor indicado, uma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vez que o mesmo não é imutável, sendo alterado logo que se constate ser diverso do valor real.</w:t>
      </w:r>
    </w:p>
    <w:p w14:paraId="46B6E496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Ora, este critério adequa-se à ideia de que o valor do ativo constitui a medida máxima de satisfação dos créditos que se afigura possível no decurso do processo de insolvência e, portanto, que esse é o valor que corresponde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utilidade económica da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execução universal 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perspetiva do</w:t>
      </w:r>
      <w:r>
        <w:rPr>
          <w:rFonts w:ascii="Times New Roman" w:hAnsi="Times New Roman"/>
          <w:sz w:val="24"/>
          <w:szCs w:val="24"/>
        </w:rPr>
        <w:t xml:space="preserve">s credores. </w:t>
      </w:r>
    </w:p>
    <w:p w14:paraId="716C3777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Por seu turno, o artigo 678.º, n.º 1 do Código de Processo Civil estabelece que só é admissível recurso ordinário quando a causa tenha valor superior à alçada do tribunal de que se recorre.</w:t>
      </w:r>
    </w:p>
    <w:p w14:paraId="5F98BC6D" w14:textId="77777777" w:rsid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 xml:space="preserve">- A questão primordial é o aferir se a admissibilidade de recurso se afere unicamente pelo ativo dos devedores. </w:t>
      </w:r>
    </w:p>
    <w:p w14:paraId="01818688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Todavia, com um primeiro limite decorrente da própria previsão constitucional de tribunais superiores: não é constitucionalmente tolerável que o legislador ordinário elimine pura e simplesmente a faculdade de recorrer em todo e qualquer caso.</w:t>
      </w:r>
    </w:p>
    <w:p w14:paraId="6112B638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Mais especificamente, no que toca à irrecorribilidade em função da relação entre o valor da ação e a alçada dos tribunais, o Tribunal sempre entendeu que desse critério não resulta violação da Constituição, máxime, do direito de acesso aos tribunais (artigo 20.º, n.º 1, da Constituição).</w:t>
      </w:r>
    </w:p>
    <w:p w14:paraId="25E55FA2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511C9F">
        <w:rPr>
          <w:rFonts w:ascii="Times New Roman" w:hAnsi="Times New Roman"/>
          <w:sz w:val="24"/>
          <w:szCs w:val="24"/>
        </w:rPr>
        <w:t xml:space="preserve"> É a esta luz - da não consagração constitucional do direito a 2.º grau de jurisdição neste domínio, por um lado, e da proibição do arbítrio no estabelecimento do critério de recorribilidade, quando o legislador opte por abrir a possibilidade de recurso, por outro - que importa analisar o critério normativo adotado para rejeitar o recurso.</w:t>
      </w:r>
    </w:p>
    <w:p w14:paraId="6B928E42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Ora, o critério do valor do ativo corresponde inteiramente à finalidade precípua do processo de insolvência, que a própria lei define como um processo de execução universal que tem como finalidade a liquidação do património de um devedor insolvente e a repartição do produto obtido pelos credores, ou a satisfação destes pela forma prevista no plano de insolvência (artigo 1.º do CIRE).</w:t>
      </w:r>
    </w:p>
    <w:p w14:paraId="706873F5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Assim, a escolha do fator para a determinação do valor da acção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para efeitos de recurso, não pode deixar de considerar-se critério arbitrário ou ostensivamente inadmissível, por tratar desigualmente sujeitos em posição idêntica naquilo que pode justificar o acesso ao tribunal superior.</w:t>
      </w:r>
    </w:p>
    <w:p w14:paraId="7235731D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Embora do artigo 20.º da CRP não decorra o direito a um 2.º grau de jurisdição em processo civil e não seja constitucionalmente proibida a adoção do valor da causa como critério de determinação da admissibilidade do recurso, é contrário à proibição de arbítrio um critério de determinação do valor para efeitos de relação da causa com a alçada do tribunal que conduza a que sujeitos afetados com a mesma intensidade por decisões judiciais sejam colocados em posição diversa quanto à admissibilidade de impugnação da respetiva decisão desfavorável.</w:t>
      </w:r>
    </w:p>
    <w:p w14:paraId="078E1C25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lastRenderedPageBreak/>
        <w:t>- É certo que, no âmbito de cada processo de insolvência, os sujeitos são todos tratados por igual e a todos eles é vedado ou permitido em igualdade de condições interpor recurso em função da alçada.</w:t>
      </w:r>
    </w:p>
    <w:p w14:paraId="71DA6D9D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Mas a violação da igualdade que está em causa não atinge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dimensão de igualdade que integra o princípio do «processo equitativo» (a igualdade «interna» de poderes dos concretos sujeitos processuais), mas o tratamento desigual de pessoas em identidade substancial quanto à mesma pretensão de tutela jurisdicional.</w:t>
      </w:r>
    </w:p>
    <w:p w14:paraId="63AC0663" w14:textId="77777777" w:rsidR="00511C9F" w:rsidRPr="00511C9F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511C9F">
        <w:rPr>
          <w:rFonts w:ascii="Times New Roman" w:hAnsi="Times New Roman"/>
          <w:sz w:val="24"/>
          <w:szCs w:val="24"/>
        </w:rPr>
        <w:t>Tratamento desigual esse que resulta da consideração decisiva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1C9F">
        <w:rPr>
          <w:rFonts w:ascii="Times New Roman" w:hAnsi="Times New Roman"/>
          <w:sz w:val="24"/>
          <w:szCs w:val="24"/>
        </w:rPr>
        <w:t>de um fator (o valor em função do ativo) sem relação material com a pretensão discutida e, por isso imprestável para suportar a distinção entre devedores insolventes no acesso ao 2.º grau de jurisdição de decisões desfavoráveis.</w:t>
      </w:r>
    </w:p>
    <w:p w14:paraId="597DE299" w14:textId="77777777" w:rsidR="00511C9F" w:rsidRPr="00D32804" w:rsidRDefault="00511C9F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- Pelo exposto, dúvidas não restam, nem podem restar, que o presente recurso deve ser admitido</w:t>
      </w:r>
      <w:r>
        <w:rPr>
          <w:rFonts w:ascii="Times New Roman" w:hAnsi="Times New Roman"/>
          <w:sz w:val="24"/>
          <w:szCs w:val="24"/>
        </w:rPr>
        <w:t>.</w:t>
      </w:r>
    </w:p>
    <w:p w14:paraId="4D6AF13B" w14:textId="77777777" w:rsid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B5429F" w14:textId="77777777" w:rsidR="00D32804" w:rsidRPr="0044042F" w:rsidRDefault="00511C9F" w:rsidP="0044042F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despacho preliminar, a Relatora deixou exarado o seguinte raciocínio que aqui se reitera «</w:t>
      </w:r>
      <w:r w:rsidR="00D32804" w:rsidRPr="0044042F">
        <w:rPr>
          <w:rFonts w:ascii="Times New Roman" w:hAnsi="Times New Roman"/>
          <w:i/>
          <w:sz w:val="24"/>
          <w:szCs w:val="24"/>
        </w:rPr>
        <w:t>Resulta do disposto no artigo 14º, nº1 do CIRE, no que tange à economia da problemática aqui suscitada, os Acórdãos do Tribunal da Relação, não admitem recurso, excepto se a parte demonstrar que o Acórdão a impugnar está em oposição com outro proferido por algum dos Tribunais da Relação ou pelo Supremo Tribunal de Justiça, no âmbito da mesma legislação e sobre a mesma questão fundamental de direito decidida de forma diversa e não houver jurisprudência fixada pelo Supremo, de onde ser mister aferir se estamos ou não perante o mesmo núcleo de facto originador da dissidência.</w:t>
      </w:r>
    </w:p>
    <w:p w14:paraId="36C98D9A" w14:textId="77777777" w:rsidR="00D32804" w:rsidRPr="0044042F" w:rsidRDefault="00D32804" w:rsidP="0044042F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4042F">
        <w:rPr>
          <w:rFonts w:ascii="Times New Roman" w:hAnsi="Times New Roman"/>
          <w:i/>
          <w:sz w:val="24"/>
          <w:szCs w:val="24"/>
        </w:rPr>
        <w:t>O Acórdão fundamento susceptível de desencadear este tipo de recurso - excepcionalíssimo - tem de estar, devidamente certificado e transitado em julgado, pois só como seu trânsito, é que se poderá dizer, em termos meramente formais, para começar, que poderá existir oposição de julgados tendo em atenção o disposto no artigo 619º, nº1 do CPCivil, para além de em termos substanciais, numa segunda fase apreciativa, se ter de aferir se estamos ou não perante o mesmo núcleo de facto originador da dissidência, o que igualmente só poderemos concluir aquando houver uma decisão definitiva sobre o objecto da acção.</w:t>
      </w:r>
    </w:p>
    <w:p w14:paraId="6D4A1D7E" w14:textId="77777777" w:rsidR="00D32804" w:rsidRPr="0044042F" w:rsidRDefault="00D32804" w:rsidP="0044042F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4042F">
        <w:rPr>
          <w:rFonts w:ascii="Times New Roman" w:hAnsi="Times New Roman"/>
          <w:i/>
          <w:sz w:val="24"/>
          <w:szCs w:val="24"/>
        </w:rPr>
        <w:t>A sobredita aferição só poderia ser efectuada perante uma certidão ou cópia certificada do Acórdão indicado como fundamento e não face a uma cópia retirada de um repositório jurisprudencial como é a base de dados da DGSI, nem uma cópia simples sem nota de trânsito, sendo certo que, como a questão de direito é única, apenas deveria ter sido indicado um único Aresto.</w:t>
      </w:r>
    </w:p>
    <w:p w14:paraId="4F5A4EBA" w14:textId="77777777" w:rsidR="00D32804" w:rsidRPr="00D32804" w:rsidRDefault="00D32804" w:rsidP="0044042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4042F">
        <w:rPr>
          <w:rFonts w:ascii="Times New Roman" w:hAnsi="Times New Roman"/>
          <w:i/>
          <w:sz w:val="24"/>
          <w:szCs w:val="24"/>
        </w:rPr>
        <w:t>Contudo, não obstante a deficiência apontada, que poderia ser sempre objecto de um despacho de correcção, ocorre uma outra questão, esta obstativa do conhecimento do objecto do recurso, qual é, por um lado, o valor da acção que se cifra em € 5.000,01 e o valor da sucumbência, obrigação fixada, sendo que quer um, quer outro dos apontados valores, são inferiores ao preconizados nos artigos 629º, nº1 do CPCivil e 44º, nº1 da LOSJ, requisito este de carácter geral de que se não prescinde, ex vi do disposto no artigo 17º, nº1 do CIRE.</w:t>
      </w:r>
      <w:r w:rsidR="00511C9F">
        <w:rPr>
          <w:rFonts w:ascii="Times New Roman" w:hAnsi="Times New Roman"/>
          <w:sz w:val="24"/>
          <w:szCs w:val="24"/>
        </w:rPr>
        <w:t>».</w:t>
      </w:r>
    </w:p>
    <w:p w14:paraId="568B1B66" w14:textId="77777777" w:rsidR="00D32804" w:rsidRDefault="00D32804" w:rsidP="0044042F">
      <w:pPr>
        <w:jc w:val="both"/>
      </w:pPr>
    </w:p>
    <w:p w14:paraId="31A6EC20" w14:textId="77777777" w:rsidR="00511C9F" w:rsidRPr="00511C9F" w:rsidRDefault="00511C9F" w:rsidP="0044042F">
      <w:pPr>
        <w:jc w:val="both"/>
        <w:rPr>
          <w:rFonts w:ascii="Times New Roman" w:hAnsi="Times New Roman"/>
          <w:sz w:val="24"/>
          <w:szCs w:val="24"/>
        </w:rPr>
      </w:pPr>
      <w:r w:rsidRPr="00511C9F">
        <w:rPr>
          <w:rFonts w:ascii="Times New Roman" w:hAnsi="Times New Roman"/>
          <w:sz w:val="24"/>
          <w:szCs w:val="24"/>
        </w:rPr>
        <w:t>Sempre se acrescenta o seguinte.</w:t>
      </w:r>
    </w:p>
    <w:p w14:paraId="6BBD59D2" w14:textId="77777777" w:rsidR="00511C9F" w:rsidRDefault="00511C9F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valor da acção, como os próprios</w:t>
      </w:r>
      <w:r w:rsidR="00D00EB1">
        <w:rPr>
          <w:rFonts w:ascii="Times New Roman" w:hAnsi="Times New Roman"/>
          <w:sz w:val="24"/>
          <w:szCs w:val="24"/>
        </w:rPr>
        <w:t xml:space="preserve"> Recorrentes aceitam, foi indicado como sendo de </w:t>
      </w:r>
      <w:r w:rsidR="00D00EB1" w:rsidRPr="00511C9F">
        <w:rPr>
          <w:rFonts w:ascii="Times New Roman" w:hAnsi="Times New Roman"/>
          <w:sz w:val="24"/>
          <w:szCs w:val="24"/>
        </w:rPr>
        <w:t>€ 5.000,01</w:t>
      </w:r>
      <w:r w:rsidR="00D00EB1">
        <w:rPr>
          <w:rFonts w:ascii="Times New Roman" w:hAnsi="Times New Roman"/>
          <w:sz w:val="24"/>
          <w:szCs w:val="24"/>
        </w:rPr>
        <w:t xml:space="preserve">, sendo que não houve qualquer despacho nos autos a actualizar tal valor, pelo que se tem o mesmo como fixado, nos termos do artigo 299º, nº1 do CPCivil, valor esse </w:t>
      </w:r>
      <w:r w:rsidR="00D00EB1">
        <w:rPr>
          <w:rFonts w:ascii="Times New Roman" w:hAnsi="Times New Roman"/>
          <w:sz w:val="24"/>
          <w:szCs w:val="24"/>
        </w:rPr>
        <w:lastRenderedPageBreak/>
        <w:t>que não permite qualquer impugnação recursiva para este Supremo Tribunal, atento o disposto nos artigos 629º, nº1 do CPCivil e 44º, nº1 da LOSJ.</w:t>
      </w:r>
    </w:p>
    <w:p w14:paraId="5A2BB118" w14:textId="77777777" w:rsidR="00D00EB1" w:rsidRDefault="00D00EB1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Por outro lado, mesmo que assim se não entendesse, o critério da sucumbência a que se alude naquele supra indicado ínsito processual também não permitiria a recorribilidade, posto que aquela se cifra em </w:t>
      </w:r>
      <w:r w:rsidRPr="00D00EB1">
        <w:rPr>
          <w:rFonts w:ascii="Times New Roman" w:hAnsi="Times New Roman"/>
          <w:sz w:val="24"/>
          <w:szCs w:val="24"/>
        </w:rPr>
        <w:t>€ 9.735,93</w:t>
      </w:r>
      <w:r>
        <w:rPr>
          <w:rFonts w:ascii="Times New Roman" w:hAnsi="Times New Roman"/>
          <w:sz w:val="24"/>
          <w:szCs w:val="24"/>
        </w:rPr>
        <w:t>.</w:t>
      </w:r>
    </w:p>
    <w:p w14:paraId="5935BD75" w14:textId="77777777" w:rsidR="00D00EB1" w:rsidRDefault="00D00EB1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critério valorimétrico determinado pelo legislador não afronta o preceituado no artigo 20º da CRPortuguesa, na medida em que este normativo não impõe qualquer direito a três graus de jurisdição</w:t>
      </w:r>
      <w:r w:rsidR="00E75E91">
        <w:rPr>
          <w:rFonts w:ascii="Times New Roman" w:hAnsi="Times New Roman"/>
          <w:sz w:val="24"/>
          <w:szCs w:val="24"/>
        </w:rPr>
        <w:t>, mas apenas preconiza um direito a uma tutela jurisdicional efectiva, o que os Recorrentes já obtiveram em dois graus.</w:t>
      </w:r>
    </w:p>
    <w:p w14:paraId="7DB2263D" w14:textId="77777777" w:rsidR="00E75E91" w:rsidRDefault="00E75E91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 critério, de outra banda, não belisca sequer o princípio da igualdade</w:t>
      </w:r>
      <w:r w:rsidR="00A83D0C">
        <w:rPr>
          <w:rFonts w:ascii="Times New Roman" w:hAnsi="Times New Roman"/>
          <w:sz w:val="24"/>
          <w:szCs w:val="24"/>
        </w:rPr>
        <w:t>, nem tão pouco se mostra eivado de qualquer laivo de arbitrariedade</w:t>
      </w:r>
      <w:r>
        <w:rPr>
          <w:rFonts w:ascii="Times New Roman" w:hAnsi="Times New Roman"/>
          <w:sz w:val="24"/>
          <w:szCs w:val="24"/>
        </w:rPr>
        <w:t>, porquanto em situ</w:t>
      </w:r>
      <w:r w:rsidR="00A83D0C">
        <w:rPr>
          <w:rFonts w:ascii="Times New Roman" w:hAnsi="Times New Roman"/>
          <w:sz w:val="24"/>
          <w:szCs w:val="24"/>
        </w:rPr>
        <w:t>ações paralelas</w:t>
      </w:r>
      <w:r>
        <w:rPr>
          <w:rFonts w:ascii="Times New Roman" w:hAnsi="Times New Roman"/>
          <w:sz w:val="24"/>
          <w:szCs w:val="24"/>
        </w:rPr>
        <w:t xml:space="preserve"> este Supremo Tribunal de Justiça não conheceu das pretensões dos Insolventes, </w:t>
      </w:r>
      <w:r w:rsidRPr="0044042F">
        <w:rPr>
          <w:rFonts w:ascii="Times New Roman" w:hAnsi="Times New Roman"/>
          <w:sz w:val="20"/>
          <w:szCs w:val="20"/>
        </w:rPr>
        <w:t xml:space="preserve">cfr </w:t>
      </w:r>
      <w:r w:rsidR="00A83D0C" w:rsidRPr="0044042F">
        <w:rPr>
          <w:rFonts w:ascii="Times New Roman" w:hAnsi="Times New Roman"/>
          <w:i/>
          <w:sz w:val="20"/>
          <w:szCs w:val="20"/>
        </w:rPr>
        <w:t>inter alia</w:t>
      </w:r>
      <w:r w:rsidR="00A83D0C" w:rsidRPr="0044042F">
        <w:rPr>
          <w:rFonts w:ascii="Times New Roman" w:hAnsi="Times New Roman"/>
          <w:sz w:val="20"/>
          <w:szCs w:val="20"/>
        </w:rPr>
        <w:t xml:space="preserve"> os  Ac</w:t>
      </w:r>
      <w:r w:rsidR="005A6B08" w:rsidRPr="0044042F">
        <w:rPr>
          <w:rFonts w:ascii="Times New Roman" w:hAnsi="Times New Roman"/>
          <w:sz w:val="20"/>
          <w:szCs w:val="20"/>
        </w:rPr>
        <w:t xml:space="preserve"> do STJ</w:t>
      </w:r>
      <w:r w:rsidR="00A83D0C" w:rsidRPr="0044042F">
        <w:rPr>
          <w:rFonts w:ascii="Times New Roman" w:hAnsi="Times New Roman"/>
          <w:sz w:val="20"/>
          <w:szCs w:val="20"/>
        </w:rPr>
        <w:t xml:space="preserve"> de 7 de Setembro de 2020 (Relator Pinto de Almeida</w:t>
      </w:r>
      <w:r w:rsidR="005A6B08" w:rsidRPr="0044042F">
        <w:rPr>
          <w:rFonts w:ascii="Times New Roman" w:hAnsi="Times New Roman"/>
          <w:sz w:val="20"/>
          <w:szCs w:val="20"/>
        </w:rPr>
        <w:t>, aqui primeiro Adjunto</w:t>
      </w:r>
      <w:r w:rsidR="00A83D0C" w:rsidRPr="0044042F">
        <w:rPr>
          <w:rFonts w:ascii="Times New Roman" w:hAnsi="Times New Roman"/>
          <w:sz w:val="20"/>
          <w:szCs w:val="20"/>
        </w:rPr>
        <w:t>)</w:t>
      </w:r>
      <w:r w:rsidR="005A6B08" w:rsidRPr="0044042F">
        <w:rPr>
          <w:rFonts w:ascii="Times New Roman" w:hAnsi="Times New Roman"/>
          <w:sz w:val="20"/>
          <w:szCs w:val="20"/>
        </w:rPr>
        <w:t>, de 26 de maio de 2021 deste mesmo Colectivo</w:t>
      </w:r>
      <w:r w:rsidR="00A83D0C" w:rsidRPr="0044042F">
        <w:rPr>
          <w:rFonts w:ascii="Times New Roman" w:hAnsi="Times New Roman"/>
          <w:sz w:val="20"/>
          <w:szCs w:val="20"/>
        </w:rPr>
        <w:t xml:space="preserve"> e de 9 de Junho de 2021 (Relator Jo</w:t>
      </w:r>
      <w:r w:rsidR="005A6B08" w:rsidRPr="0044042F">
        <w:rPr>
          <w:rFonts w:ascii="Times New Roman" w:hAnsi="Times New Roman"/>
          <w:sz w:val="20"/>
          <w:szCs w:val="20"/>
        </w:rPr>
        <w:t xml:space="preserve">sé Rainho, aqui segundo Adjunto), </w:t>
      </w:r>
      <w:r w:rsidR="00A83D0C" w:rsidRPr="0044042F">
        <w:rPr>
          <w:rFonts w:ascii="Times New Roman" w:hAnsi="Times New Roman"/>
          <w:sz w:val="20"/>
          <w:szCs w:val="20"/>
        </w:rPr>
        <w:t xml:space="preserve"> in </w:t>
      </w:r>
      <w:hyperlink r:id="rId7" w:history="1">
        <w:r w:rsidR="00A83D0C" w:rsidRPr="0044042F">
          <w:rPr>
            <w:rStyle w:val="Hiperligao"/>
            <w:rFonts w:ascii="Times New Roman" w:hAnsi="Times New Roman"/>
            <w:sz w:val="20"/>
            <w:szCs w:val="20"/>
            <w:u w:val="none"/>
          </w:rPr>
          <w:t>www.dgsi.pt</w:t>
        </w:r>
      </w:hyperlink>
      <w:r w:rsidR="00A83D0C" w:rsidRPr="005A6B08">
        <w:rPr>
          <w:rFonts w:ascii="Times New Roman" w:hAnsi="Times New Roman"/>
          <w:sz w:val="24"/>
          <w:szCs w:val="24"/>
        </w:rPr>
        <w:t>.</w:t>
      </w:r>
    </w:p>
    <w:p w14:paraId="3671F237" w14:textId="77777777" w:rsidR="00A83D0C" w:rsidRDefault="00A83D0C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Destarte, sem necessidade de mais considerandos, nos termos do disposto no artigo 652º, nº1, alínea b) do CPCivil, aplicável por força do preceituado no artigo 679º do mesmo diploma, </w:t>
      </w:r>
      <w:r w:rsidR="005A6B08">
        <w:rPr>
          <w:rFonts w:ascii="Times New Roman" w:hAnsi="Times New Roman"/>
          <w:sz w:val="24"/>
          <w:szCs w:val="24"/>
        </w:rPr>
        <w:t>não se conhece do objecto do recurso por a tal obstar o valor da acção e da sucumbência.</w:t>
      </w:r>
    </w:p>
    <w:p w14:paraId="4C65EBCA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Custas pelos Recorrentes.</w:t>
      </w:r>
    </w:p>
    <w:p w14:paraId="7D138CFB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Lisboa, 8 de Setembro de 2021</w:t>
      </w:r>
    </w:p>
    <w:p w14:paraId="721468E6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</w:p>
    <w:p w14:paraId="1409392B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44042F">
        <w:rPr>
          <w:rFonts w:ascii="Brush Script MT" w:hAnsi="Brush Script MT"/>
          <w:sz w:val="24"/>
          <w:szCs w:val="24"/>
        </w:rPr>
        <w:t>Ana Paula Boularot</w:t>
      </w:r>
      <w:r>
        <w:rPr>
          <w:rFonts w:ascii="Times New Roman" w:hAnsi="Times New Roman"/>
          <w:sz w:val="24"/>
          <w:szCs w:val="24"/>
        </w:rPr>
        <w:t>)</w:t>
      </w:r>
    </w:p>
    <w:p w14:paraId="40E2D29B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</w:p>
    <w:p w14:paraId="58B64FAF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44042F">
        <w:rPr>
          <w:rFonts w:ascii="Brush Script MT" w:hAnsi="Brush Script MT"/>
          <w:sz w:val="24"/>
          <w:szCs w:val="24"/>
        </w:rPr>
        <w:t>Fernando Pinto de Almeida</w:t>
      </w:r>
      <w:r>
        <w:rPr>
          <w:rFonts w:ascii="Times New Roman" w:hAnsi="Times New Roman"/>
          <w:sz w:val="24"/>
          <w:szCs w:val="24"/>
        </w:rPr>
        <w:t>)</w:t>
      </w:r>
    </w:p>
    <w:p w14:paraId="651BE26F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</w:p>
    <w:p w14:paraId="79CAB1CF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Pr="0044042F">
        <w:rPr>
          <w:rFonts w:ascii="Brush Script MT" w:hAnsi="Brush Script MT"/>
          <w:sz w:val="24"/>
          <w:szCs w:val="24"/>
        </w:rPr>
        <w:t>José Rainho</w:t>
      </w:r>
      <w:r>
        <w:rPr>
          <w:rFonts w:ascii="Times New Roman" w:hAnsi="Times New Roman"/>
          <w:sz w:val="24"/>
          <w:szCs w:val="24"/>
        </w:rPr>
        <w:t>)</w:t>
      </w:r>
    </w:p>
    <w:p w14:paraId="70144B35" w14:textId="77777777" w:rsidR="005A6B08" w:rsidRDefault="005A6B08" w:rsidP="0044042F">
      <w:pPr>
        <w:jc w:val="both"/>
        <w:rPr>
          <w:rFonts w:ascii="Times New Roman" w:hAnsi="Times New Roman"/>
          <w:sz w:val="24"/>
          <w:szCs w:val="24"/>
        </w:rPr>
      </w:pPr>
    </w:p>
    <w:p w14:paraId="55961794" w14:textId="77777777" w:rsidR="00D00EB1" w:rsidRPr="00511C9F" w:rsidRDefault="00D00EB1" w:rsidP="0044042F">
      <w:pPr>
        <w:jc w:val="both"/>
        <w:rPr>
          <w:rFonts w:ascii="Times New Roman" w:hAnsi="Times New Roman"/>
          <w:sz w:val="24"/>
          <w:szCs w:val="24"/>
        </w:rPr>
      </w:pPr>
    </w:p>
    <w:sectPr w:rsidR="00D00EB1" w:rsidRPr="00511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804"/>
    <w:rsid w:val="003A1766"/>
    <w:rsid w:val="003C1607"/>
    <w:rsid w:val="0044042F"/>
    <w:rsid w:val="00465F64"/>
    <w:rsid w:val="00511C9F"/>
    <w:rsid w:val="005A6B08"/>
    <w:rsid w:val="008B677E"/>
    <w:rsid w:val="00947E8C"/>
    <w:rsid w:val="00A83D0C"/>
    <w:rsid w:val="00AE421E"/>
    <w:rsid w:val="00D00EB1"/>
    <w:rsid w:val="00D32804"/>
    <w:rsid w:val="00E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8385E8"/>
  <w15:chartTrackingRefBased/>
  <w15:docId w15:val="{C6F5BFDE-0C3F-4B78-9147-22B3E9FE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unhideWhenUsed/>
    <w:rsid w:val="00A83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www.dgsi.p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390C52E3EFB4B933E45A7A2906327" ma:contentTypeVersion="7" ma:contentTypeDescription="Criar um novo documento." ma:contentTypeScope="" ma:versionID="4094385c87782212138b1e702d123bde">
  <xsd:schema xmlns:xsd="http://www.w3.org/2001/XMLSchema" xmlns:xs="http://www.w3.org/2001/XMLSchema" xmlns:p="http://schemas.microsoft.com/office/2006/metadata/properties" xmlns:ns2="39cae114-930a-42b3-aaa0-cb23d593d8dc" targetNamespace="http://schemas.microsoft.com/office/2006/metadata/properties" ma:root="true" ma:fieldsID="7c5ca0d923fc1d67b63a0422e546e46c" ns2:_="">
    <xsd:import namespace="39cae114-930a-42b3-aaa0-cb23d593d8d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ae114-930a-42b3-aaa0-cb23d593d8dc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39cae114-930a-42b3-aaa0-cb23d593d8dc" xsi:nil="true"/>
    <MigrationWizId xmlns="39cae114-930a-42b3-aaa0-cb23d593d8dc" xsi:nil="true"/>
    <MigrationWizIdPermissions xmlns="39cae114-930a-42b3-aaa0-cb23d593d8dc" xsi:nil="true"/>
    <MigrationWizIdSecurityGroups xmlns="39cae114-930a-42b3-aaa0-cb23d593d8dc" xsi:nil="true"/>
    <MigrationWizIdDocumentLibraryPermissions xmlns="39cae114-930a-42b3-aaa0-cb23d593d8dc" xsi:nil="true"/>
  </documentManagement>
</p:properties>
</file>

<file path=customXml/itemProps1.xml><?xml version="1.0" encoding="utf-8"?>
<ds:datastoreItem xmlns:ds="http://schemas.openxmlformats.org/officeDocument/2006/customXml" ds:itemID="{35EBC8AB-5110-4C7E-9BBD-BA19A88BA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90FC9-F19E-4F51-AFB9-31D09618B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ae114-930a-42b3-aaa0-cb23d593d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3D944A-4026-4262-A2EC-518B3A33FF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Links>
    <vt:vector size="6" baseType="variant">
      <vt:variant>
        <vt:i4>6684718</vt:i4>
      </vt:variant>
      <vt:variant>
        <vt:i4>0</vt:i4>
      </vt:variant>
      <vt:variant>
        <vt:i4>0</vt:i4>
      </vt:variant>
      <vt:variant>
        <vt:i4>5</vt:i4>
      </vt:variant>
      <vt:variant>
        <vt:lpwstr>http://www.dgsi.pt/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ana.p.boularot_st</dc:creator>
  <cp:keywords/>
  <cp:lastModifiedBy>Martim zanatti</cp:lastModifiedBy>
  <cp:revision>2</cp:revision>
  <cp:lastPrinted>2021-09-07T10:06:00Z</cp:lastPrinted>
  <dcterms:created xsi:type="dcterms:W3CDTF">2023-01-05T17:30:00Z</dcterms:created>
  <dcterms:modified xsi:type="dcterms:W3CDTF">2023-01-05T17:30:00Z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d4c2a68a19c6761ea9fcbeeabc12dcbc3af3d7c88ae2dafafb5227f270fb4fe6</vt:lpwstr>
  </property>
</Properties>
</file>