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47D8" w14:textId="77777777" w:rsidR="0048500F" w:rsidRDefault="0048500F" w:rsidP="004850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Pr="006D7AFB">
        <w:rPr>
          <w:rFonts w:ascii="Times New Roman" w:hAnsi="Times New Roman"/>
          <w:sz w:val="24"/>
          <w:szCs w:val="24"/>
        </w:rPr>
        <w:t>O presente incidente de habilitação de herdeiros constitui um apenso de uma acção executiva e como deflui inequivocamente do preceituado no artigo 854º do CPCivil «Sem prejuízo dos casos em que é sempre admissível recurso para o Supremo tribunal de Justiça, apenas cabe revista, nos termos gerais, dos acórdãos da Relação proferidos em recurso dos procedimentos de liquidação não dependente de simples cálculo aritmético, de verificação e graduação de créditos e de oposição deduzida contra a execução.».</w:t>
      </w:r>
    </w:p>
    <w:p w14:paraId="58D01B22" w14:textId="77777777" w:rsidR="0048500F" w:rsidRDefault="0048500F" w:rsidP="004850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II A decisão produzida em sede de incidente de habilitação de herdeiros</w:t>
      </w:r>
      <w:r w:rsidRPr="00257023">
        <w:rPr>
          <w:rFonts w:ascii="Times New Roman" w:hAnsi="Times New Roman"/>
          <w:sz w:val="24"/>
          <w:szCs w:val="24"/>
        </w:rPr>
        <w:t xml:space="preserve"> é uma decisão interlocutória e não final, </w:t>
      </w:r>
      <w:r>
        <w:rPr>
          <w:rFonts w:ascii="Times New Roman" w:hAnsi="Times New Roman"/>
          <w:sz w:val="24"/>
          <w:szCs w:val="24"/>
        </w:rPr>
        <w:t>e em termos recursórios, para ser admissível a Revista, a mesma tem</w:t>
      </w:r>
      <w:r w:rsidRPr="00257023">
        <w:rPr>
          <w:rFonts w:ascii="Times New Roman" w:hAnsi="Times New Roman"/>
          <w:sz w:val="24"/>
          <w:szCs w:val="24"/>
        </w:rPr>
        <w:t xml:space="preserve"> de obedecer aos requisitos do normativo inserto no artigo 671º, nº2, alíneas a) ou b), do CPCivil, de onde se poder concluir que, não se estando perante uma situação em que o recurso seja sempre admissível (alínea a)), a impugnação agora encetada apenas se poderia basear na alínea b), isto é, desde que se alegasse que o Acórdão em crise estava em oposição com outro produzido pelo Supremo Tribunal de Justiça, no âmbito da mesma legislação e sobre a mesma questão fundamental de direito</w:t>
      </w:r>
      <w:r>
        <w:rPr>
          <w:rFonts w:ascii="Times New Roman" w:hAnsi="Times New Roman"/>
          <w:sz w:val="24"/>
          <w:szCs w:val="24"/>
        </w:rPr>
        <w:t>.</w:t>
      </w:r>
    </w:p>
    <w:p w14:paraId="42ADD652" w14:textId="77777777" w:rsidR="0048500F" w:rsidRPr="00257023" w:rsidRDefault="0048500F" w:rsidP="004850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III Embora a decisão proferida no incidente ponha fim à intercorrência processual da habilitação, </w:t>
      </w:r>
      <w:r w:rsidRPr="00257023">
        <w:rPr>
          <w:rFonts w:ascii="Times New Roman" w:hAnsi="Times New Roman"/>
          <w:sz w:val="24"/>
          <w:szCs w:val="24"/>
        </w:rPr>
        <w:t>não conhece do mérito da causa executiva, sendo este conhecimento de fundo que dita a oportunidade da Revista, artigo 671º, nº1 do CPCivil conjugado com o artigo 854º do me</w:t>
      </w:r>
      <w:r>
        <w:rPr>
          <w:rFonts w:ascii="Times New Roman" w:hAnsi="Times New Roman"/>
          <w:sz w:val="24"/>
          <w:szCs w:val="24"/>
        </w:rPr>
        <w:t>smo diploma, não pondo</w:t>
      </w:r>
      <w:r w:rsidRPr="00257023">
        <w:rPr>
          <w:rFonts w:ascii="Times New Roman" w:hAnsi="Times New Roman"/>
          <w:sz w:val="24"/>
          <w:szCs w:val="24"/>
        </w:rPr>
        <w:t>, assim, fim à execução que se encontra a correr, antes determina a sua continuação.</w:t>
      </w:r>
    </w:p>
    <w:p w14:paraId="2203E201" w14:textId="77777777" w:rsidR="0048500F" w:rsidRPr="00257023" w:rsidRDefault="0048500F" w:rsidP="004850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IV </w:t>
      </w:r>
      <w:r w:rsidRPr="00257023">
        <w:rPr>
          <w:rFonts w:ascii="Times New Roman" w:hAnsi="Times New Roman"/>
          <w:sz w:val="24"/>
          <w:szCs w:val="24"/>
        </w:rPr>
        <w:t>Uma questão, é o efeito que o óbito de uma parte pode ter numa acção pendente, coisa outra é a extinção do direito que se pretende fazer valer por via do seu seu óbito.</w:t>
      </w:r>
    </w:p>
    <w:p w14:paraId="0A020E84" w14:textId="77777777" w:rsidR="0048500F" w:rsidRPr="00257023" w:rsidRDefault="0048500F" w:rsidP="004850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 </w:t>
      </w:r>
      <w:r w:rsidRPr="00257023">
        <w:rPr>
          <w:rFonts w:ascii="Times New Roman" w:hAnsi="Times New Roman"/>
          <w:sz w:val="24"/>
          <w:szCs w:val="24"/>
        </w:rPr>
        <w:t>O óbito de uma parte implica a suspensão da instância nos termos do disposto no artigo 269º, nº1, alínea a) do CPCivil, até que seja promovida e declarada a habilitação dos herdeiros do falecido para no seu lugar prosseguirem os termos da causa, de harmonia com o preceituado nos artigos 351º e seguintes, não dá lugar, ao contrário do que pretendem os Recorrentes à extinção da instância, sendo que esta apenas se poderá eventualmente vir a extinguir em casos especialíssimos quando o óbito torne impossível ou inútil a continuação da lide, nº3 do artigo 269º do CPCivil (vg acção de divórcio ou de separação de pessoas e bens, acção de alimentos pedidos por um Autor que venha a falecer, acção de nomeação e/ou de destituição de órgão social de sociedade)</w:t>
      </w:r>
      <w:r>
        <w:rPr>
          <w:rFonts w:ascii="Times New Roman" w:hAnsi="Times New Roman"/>
          <w:sz w:val="24"/>
          <w:szCs w:val="24"/>
        </w:rPr>
        <w:t>.</w:t>
      </w:r>
    </w:p>
    <w:p w14:paraId="0BF3A2BE" w14:textId="77777777" w:rsidR="0048500F" w:rsidRDefault="0048500F" w:rsidP="0048500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B6FCC3" w14:textId="77777777" w:rsidR="00A265E7" w:rsidRPr="0048500F" w:rsidRDefault="00A265E7" w:rsidP="0048500F"/>
    <w:sectPr w:rsidR="00A265E7" w:rsidRPr="00485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778C"/>
    <w:rsid w:val="00257023"/>
    <w:rsid w:val="00341D63"/>
    <w:rsid w:val="0042778C"/>
    <w:rsid w:val="0048500F"/>
    <w:rsid w:val="00677DDF"/>
    <w:rsid w:val="006D7AFB"/>
    <w:rsid w:val="007670E2"/>
    <w:rsid w:val="00A265E7"/>
    <w:rsid w:val="00BB05E0"/>
    <w:rsid w:val="00C51863"/>
    <w:rsid w:val="00CD7721"/>
    <w:rsid w:val="00CD7D16"/>
    <w:rsid w:val="00F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136196"/>
  <w15:chartTrackingRefBased/>
  <w15:docId w15:val="{3FAF7EF4-0360-42EC-8429-5E019584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unhideWhenUsed/>
    <w:rsid w:val="00CD7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3390C52E3EFB4B933E45A7A2906327" ma:contentTypeVersion="7" ma:contentTypeDescription="Criar um novo documento." ma:contentTypeScope="" ma:versionID="4094385c87782212138b1e702d123bde">
  <xsd:schema xmlns:xsd="http://www.w3.org/2001/XMLSchema" xmlns:xs="http://www.w3.org/2001/XMLSchema" xmlns:p="http://schemas.microsoft.com/office/2006/metadata/properties" xmlns:ns2="39cae114-930a-42b3-aaa0-cb23d593d8dc" targetNamespace="http://schemas.microsoft.com/office/2006/metadata/properties" ma:root="true" ma:fieldsID="7c5ca0d923fc1d67b63a0422e546e46c" ns2:_="">
    <xsd:import namespace="39cae114-930a-42b3-aaa0-cb23d593d8dc"/>
    <xsd:element name="properties">
      <xsd:complexType>
        <xsd:sequence>
          <xsd:element name="documentManagement">
            <xsd:complexType>
              <xsd:all>
                <xsd:element ref="ns2:MigrationWizId" minOccurs="0"/>
                <xsd:element ref="ns2:MigrationWizIdPermissions" minOccurs="0"/>
                <xsd:element ref="ns2:MigrationWizIdPermissionLevels" minOccurs="0"/>
                <xsd:element ref="ns2:MigrationWizIdDocumentLibraryPermissions" minOccurs="0"/>
                <xsd:element ref="ns2:MigrationWizIdSecurityGroup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ae114-930a-42b3-aaa0-cb23d593d8dc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PermissionLevels xmlns="39cae114-930a-42b3-aaa0-cb23d593d8dc" xsi:nil="true"/>
    <MigrationWizId xmlns="39cae114-930a-42b3-aaa0-cb23d593d8dc" xsi:nil="true"/>
    <MigrationWizIdPermissions xmlns="39cae114-930a-42b3-aaa0-cb23d593d8dc" xsi:nil="true"/>
    <MigrationWizIdSecurityGroups xmlns="39cae114-930a-42b3-aaa0-cb23d593d8dc" xsi:nil="true"/>
    <MigrationWizIdDocumentLibraryPermissions xmlns="39cae114-930a-42b3-aaa0-cb23d593d8dc" xsi:nil="true"/>
  </documentManagement>
</p:properties>
</file>

<file path=customXml/itemProps1.xml><?xml version="1.0" encoding="utf-8"?>
<ds:datastoreItem xmlns:ds="http://schemas.openxmlformats.org/officeDocument/2006/customXml" ds:itemID="{CC218E0A-C643-45F9-85AA-C91BF3092B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BE5AE3-81C2-4302-A110-725215DDF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ae114-930a-42b3-aaa0-cb23d593d8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44DD08-D8CB-43BC-BCFD-5B8C2B0B05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ana.p.boularot_st</dc:creator>
  <cp:keywords/>
  <cp:lastModifiedBy>Martim zanatti</cp:lastModifiedBy>
  <cp:revision>2</cp:revision>
  <dcterms:created xsi:type="dcterms:W3CDTF">2023-01-05T17:15:00Z</dcterms:created>
  <dcterms:modified xsi:type="dcterms:W3CDTF">2023-01-05T17:15:00Z</dcterms:modified>
</cp:coreProperties>
</file>