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CBB26" w14:textId="0BEEDF50" w:rsidR="005A28BB" w:rsidRDefault="00F21D56">
      <w:pPr>
        <w:rPr>
          <w:b/>
          <w:bCs/>
        </w:rPr>
      </w:pPr>
      <w:r>
        <w:rPr>
          <w:b/>
          <w:bCs/>
        </w:rPr>
        <w:t>QFR</w:t>
      </w:r>
    </w:p>
    <w:p w14:paraId="65F9BFD3" w14:textId="41DF83A1" w:rsidR="00F21D56" w:rsidRDefault="00F21D56">
      <w:r>
        <w:t>See the excel for details.</w:t>
      </w:r>
    </w:p>
    <w:p w14:paraId="36C98BA2" w14:textId="35E3AD38" w:rsidR="00F21D56" w:rsidRDefault="00F21D56">
      <w:r>
        <w:t>TOTASSET = NETPPE + OTHCURASS + TREASSECS + OTHNCASSET</w:t>
      </w:r>
    </w:p>
    <w:p w14:paraId="7A790546" w14:textId="2B553CF8" w:rsidR="00F21D56" w:rsidRDefault="00F21D56">
      <w:r>
        <w:tab/>
        <w:t xml:space="preserve">     Prod. inv </w:t>
      </w:r>
      <w:r>
        <w:tab/>
        <w:t xml:space="preserve"> </w:t>
      </w:r>
      <w:r>
        <w:tab/>
        <w:t xml:space="preserve">   financial</w:t>
      </w:r>
      <w:r>
        <w:tab/>
      </w:r>
      <w:r>
        <w:tab/>
        <w:t>intangibles/unknown</w:t>
      </w:r>
    </w:p>
    <w:p w14:paraId="0010D2DC" w14:textId="2075F074" w:rsidR="00F21D56" w:rsidRDefault="00F21D56"/>
    <w:p w14:paraId="67966443" w14:textId="5B85F6CC" w:rsidR="00F21D56" w:rsidRDefault="00F21D56">
      <w:r>
        <w:t>TOTASSET = TOTLIAB + CAPSTOCK + RETEARN + CUMFORCUR + OTSEITEMS – TREASSTK.</w:t>
      </w:r>
    </w:p>
    <w:p w14:paraId="3600DC84" w14:textId="512E0D83" w:rsidR="00F21D56" w:rsidRDefault="00F21D56">
      <w:r>
        <w:t>Here’s how see retained earnings going into assets.</w:t>
      </w:r>
    </w:p>
    <w:p w14:paraId="53C4E632" w14:textId="77777777" w:rsidR="00F21D56" w:rsidRDefault="00F21D56"/>
    <w:p w14:paraId="6EC94104" w14:textId="4667B321" w:rsidR="00F21D56" w:rsidRDefault="00F21D56">
      <w:r>
        <w:t>I guess for flow of investment, just look at delta of the first line of TOTASSET categories.</w:t>
      </w:r>
    </w:p>
    <w:p w14:paraId="134FD47B" w14:textId="6458C254" w:rsidR="00997EFB" w:rsidRPr="00F21D56" w:rsidRDefault="00997EFB">
      <w:r>
        <w:t>Then, for flow of funding, can do delta liabilities vs. delta equity. And can break delta equity into delta capstock + delta retearn + delta adjustments. Then will see “how is flow of sources changing” vs. “how is flow of investment changing.” In addition to “how are the stocks changing.”</w:t>
      </w:r>
    </w:p>
    <w:sectPr w:rsidR="00997EFB" w:rsidRPr="00F21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56"/>
    <w:rsid w:val="001A5C79"/>
    <w:rsid w:val="005A28BB"/>
    <w:rsid w:val="00997EFB"/>
    <w:rsid w:val="00EF49A9"/>
    <w:rsid w:val="00F2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5250E"/>
  <w15:chartTrackingRefBased/>
  <w15:docId w15:val="{771AA5E3-9634-7C45-8BF7-13D23BDA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Bernstein, Martin</dc:creator>
  <cp:keywords/>
  <dc:description/>
  <cp:lastModifiedBy>Bernstein, Martin</cp:lastModifiedBy>
  <cp:revision>2</cp:revision>
  <dcterms:created xsi:type="dcterms:W3CDTF">2025-10-03T16:23:00Z</dcterms:created>
  <dcterms:modified xsi:type="dcterms:W3CDTF">2025-10-03T16:28:00Z</dcterms:modified>
</cp:coreProperties>
</file>