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D6F56"/>
          <w:sz w:val="40"/>
          <w:szCs w:val="40"/>
        </w:rPr>
        <w:t xml:space="preserve">Propuesta: Data Lakehouse corporativo</w:t>
      </w:r>
    </w:p>
    <w:p>
      <w:pPr>
        <w:spacing w:after="400"/>
      </w:pPr>
      <w:r>
        <w:rPr>
          <w:i/>
          <w:iCs/>
          <w:color w:val="555555"/>
          <w:sz w:val="24"/>
          <w:szCs w:val="24"/>
        </w:rPr>
        <w:t xml:space="preserve">Consolidación de fuentes de datos, escalabilidad e incorporación de IA al día a día</w:t>
      </w:r>
    </w:p>
    <w:p>
      <w:pPr>
        <w:pStyle w:val="Heading1"/>
        <w:spacing w:after="160" w:before="360"/>
      </w:pPr>
      <w:r>
        <w:t xml:space="preserve">1. Resumen ejecutivo</w:t>
      </w:r>
    </w:p>
    <w:p>
      <w:pPr>
        <w:spacing w:after="160"/>
      </w:pPr>
      <w:r>
        <w:t xml:space="preserve">Actualmente la operación depende de reportes manuales construidos a partir de extracciones puntuales (por ejemplo, el reporte de ventas entregado en Excel a partir de un script SQL sobre la VM de ventas). Existen al menos seis sistemas fuente relevantes para el negocio, sin un repositorio central ni gobierno de datos común entre ellos.</w:t>
      </w:r>
    </w:p>
    <w:p>
      <w:pPr>
        <w:spacing w:after="160"/>
      </w:pPr>
      <w:r>
        <w:t xml:space="preserve">Esta propuesta plantea construir un Data Lakehouse: un repositorio central que combina la flexibilidad de un data lake con las capacidades transaccionales y de consulta de un data warehouse, permitiendo alimentar reportes, dashboards y, a futuro, modelos de predicción e inteligencia artificial aplicada al día a día del negocio (chatbot interno, detección de anomalías, pronósticos).</w:t>
      </w:r>
    </w:p>
    <w:p>
      <w:pPr>
        <w:spacing w:after="160"/>
      </w:pPr>
      <w:r>
        <w:t xml:space="preserve">Se evalúan dos rutas de implementación — AWS y Microsoft Azure — considerando que la empresa ya cuenta con una suscripción empresarial activa en Azure donde residen la VM del portal de ventas y del CRM. La recomendación y los próximos pasos se detallan en las secciones 4 a 7.</w:t>
      </w:r>
    </w:p>
    <w:p>
      <w:pPr>
        <w:pStyle w:val="Heading1"/>
        <w:spacing w:after="160" w:before="360"/>
      </w:pPr>
      <w:r>
        <w:t xml:space="preserve">2. Contexto actual</w:t>
      </w:r>
    </w:p>
    <w:p>
      <w:pPr>
        <w:pStyle w:val="Heading2"/>
        <w:spacing w:after="120" w:before="280"/>
      </w:pPr>
      <w:r>
        <w:t xml:space="preserve">2.1 Fuentes de datos identificadas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1D6F56" w:val="clear"/>
            <w:tcMar>
              <w:top w:type="dxa" w:w="100"/>
              <w:left w:type="dxa" w:w="120"/>
              <w:bottom w:type="dxa" w:w="100"/>
              <w:right w:type="dxa" w:w="120"/>
            </w:tcMar>
          </w:tcPr>
          <w:p>
            <w:r>
              <w:rPr>
                <w:b/>
                <w:bCs/>
                <w:color w:val="FFFFFF"/>
                <w:sz w:val="20"/>
                <w:szCs w:val="20"/>
              </w:rPr>
              <w:t xml:space="preserve">Fuente</w:t>
            </w:r>
          </w:p>
        </w:tc>
        <w:tc>
          <w:tcPr>
            <w:tcW w:type="dxa" w:w="2600"/>
            <w:shd w:fill="1D6F56" w:val="clear"/>
            <w:tcMar>
              <w:top w:type="dxa" w:w="100"/>
              <w:left w:type="dxa" w:w="120"/>
              <w:bottom w:type="dxa" w:w="100"/>
              <w:right w:type="dxa" w:w="120"/>
            </w:tcMar>
          </w:tcPr>
          <w:p>
            <w:r>
              <w:rPr>
                <w:b/>
                <w:bCs/>
                <w:color w:val="FFFFFF"/>
                <w:sz w:val="20"/>
                <w:szCs w:val="20"/>
              </w:rPr>
              <w:t xml:space="preserve">Motor / plataforma</w:t>
            </w:r>
          </w:p>
        </w:tc>
        <w:tc>
          <w:tcPr>
            <w:tcW w:type="dxa" w:w="3900"/>
            <w:shd w:fill="1D6F56" w:val="clear"/>
            <w:tcMar>
              <w:top w:type="dxa" w:w="100"/>
              <w:left w:type="dxa" w:w="120"/>
              <w:bottom w:type="dxa" w:w="100"/>
              <w:right w:type="dxa" w:w="120"/>
            </w:tcMar>
          </w:tcPr>
          <w:p>
            <w:r>
              <w:rPr>
                <w:b/>
                <w:bCs/>
                <w:color w:val="FFFFFF"/>
                <w:sz w:val="20"/>
                <w:szCs w:val="20"/>
              </w:rPr>
              <w:t xml:space="preserve">Ubicación actual</w:t>
            </w:r>
          </w:p>
        </w:tc>
      </w:tr>
      <w:tr>
        <w:tc>
          <w:tcPr>
            <w:tcW w:type="dxa" w:w="2600"/>
            <w:tcMar>
              <w:top w:type="dxa" w:w="100"/>
              <w:left w:type="dxa" w:w="120"/>
              <w:bottom w:type="dxa" w:w="100"/>
              <w:right w:type="dxa" w:w="120"/>
            </w:tcMar>
          </w:tcPr>
          <w:p>
            <w:r>
              <w:rPr>
                <w:b w:val="false"/>
                <w:bCs w:val="false"/>
                <w:sz w:val="20"/>
                <w:szCs w:val="20"/>
              </w:rPr>
              <w:t xml:space="preserve">ERP</w:t>
            </w:r>
          </w:p>
        </w:tc>
        <w:tc>
          <w:tcPr>
            <w:tcW w:type="dxa" w:w="2600"/>
            <w:tcMar>
              <w:top w:type="dxa" w:w="100"/>
              <w:left w:type="dxa" w:w="120"/>
              <w:bottom w:type="dxa" w:w="100"/>
              <w:right w:type="dxa" w:w="120"/>
            </w:tcMar>
          </w:tcPr>
          <w:p>
            <w:r>
              <w:rPr>
                <w:b w:val="false"/>
                <w:bCs w:val="false"/>
                <w:sz w:val="20"/>
                <w:szCs w:val="20"/>
              </w:rPr>
              <w:t xml:space="preserve">SQL Server / MySQL / Postgres (por confirmar)</w:t>
            </w:r>
          </w:p>
        </w:tc>
        <w:tc>
          <w:tcPr>
            <w:tcW w:type="dxa" w:w="3900"/>
            <w:tcMar>
              <w:top w:type="dxa" w:w="100"/>
              <w:left w:type="dxa" w:w="120"/>
              <w:bottom w:type="dxa" w:w="100"/>
              <w:right w:type="dxa" w:w="120"/>
            </w:tcMar>
          </w:tcPr>
          <w:p>
            <w:r>
              <w:rPr>
                <w:b w:val="false"/>
                <w:bCs w:val="false"/>
                <w:sz w:val="20"/>
                <w:szCs w:val="20"/>
              </w:rPr>
              <w:t xml:space="preserve">Por confirmar</w:t>
            </w:r>
          </w:p>
        </w:tc>
      </w:tr>
      <w:tr>
        <w:tc>
          <w:tcPr>
            <w:tcW w:type="dxa" w:w="2600"/>
            <w:shd w:fill="F1EFE8" w:val="clear"/>
            <w:tcMar>
              <w:top w:type="dxa" w:w="100"/>
              <w:left w:type="dxa" w:w="120"/>
              <w:bottom w:type="dxa" w:w="100"/>
              <w:right w:type="dxa" w:w="120"/>
            </w:tcMar>
          </w:tcPr>
          <w:p>
            <w:r>
              <w:rPr>
                <w:b w:val="false"/>
                <w:bCs w:val="false"/>
                <w:sz w:val="20"/>
                <w:szCs w:val="20"/>
              </w:rPr>
              <w:t xml:space="preserve">Portal de ventas</w:t>
            </w:r>
          </w:p>
        </w:tc>
        <w:tc>
          <w:tcPr>
            <w:tcW w:type="dxa" w:w="2600"/>
            <w:shd w:fill="F1EFE8" w:val="clear"/>
            <w:tcMar>
              <w:top w:type="dxa" w:w="100"/>
              <w:left w:type="dxa" w:w="120"/>
              <w:bottom w:type="dxa" w:w="100"/>
              <w:right w:type="dxa" w:w="120"/>
            </w:tcMar>
          </w:tcPr>
          <w:p>
            <w:r>
              <w:rPr>
                <w:b w:val="false"/>
                <w:bCs w:val="false"/>
                <w:sz w:val="20"/>
                <w:szCs w:val="20"/>
              </w:rPr>
              <w:t xml:space="preserve">Base relacional estándar</w:t>
            </w:r>
          </w:p>
        </w:tc>
        <w:tc>
          <w:tcPr>
            <w:tcW w:type="dxa" w:w="3900"/>
            <w:shd w:fill="F1EFE8" w:val="clear"/>
            <w:tcMar>
              <w:top w:type="dxa" w:w="100"/>
              <w:left w:type="dxa" w:w="120"/>
              <w:bottom w:type="dxa" w:w="100"/>
              <w:right w:type="dxa" w:w="120"/>
            </w:tcMar>
          </w:tcPr>
          <w:p>
            <w:r>
              <w:rPr>
                <w:b w:val="false"/>
                <w:bCs w:val="false"/>
                <w:sz w:val="20"/>
                <w:szCs w:val="20"/>
              </w:rPr>
              <w:t xml:space="preserve">VM en cuenta empresarial de Azure</w:t>
            </w:r>
          </w:p>
        </w:tc>
      </w:tr>
      <w:tr>
        <w:tc>
          <w:tcPr>
            <w:tcW w:type="dxa" w:w="2600"/>
            <w:tcMar>
              <w:top w:type="dxa" w:w="100"/>
              <w:left w:type="dxa" w:w="120"/>
              <w:bottom w:type="dxa" w:w="100"/>
              <w:right w:type="dxa" w:w="120"/>
            </w:tcMar>
          </w:tcPr>
          <w:p>
            <w:r>
              <w:rPr>
                <w:b w:val="false"/>
                <w:bCs w:val="false"/>
                <w:sz w:val="20"/>
                <w:szCs w:val="20"/>
              </w:rPr>
              <w:t xml:space="preserve">CRM</w:t>
            </w:r>
          </w:p>
        </w:tc>
        <w:tc>
          <w:tcPr>
            <w:tcW w:type="dxa" w:w="2600"/>
            <w:tcMar>
              <w:top w:type="dxa" w:w="100"/>
              <w:left w:type="dxa" w:w="120"/>
              <w:bottom w:type="dxa" w:w="100"/>
              <w:right w:type="dxa" w:w="120"/>
            </w:tcMar>
          </w:tcPr>
          <w:p>
            <w:r>
              <w:rPr>
                <w:b w:val="false"/>
                <w:bCs w:val="false"/>
                <w:sz w:val="20"/>
                <w:szCs w:val="20"/>
              </w:rPr>
              <w:t xml:space="preserve">Postgres (Supabase) — aplicación posiblemente en VM Azure</w:t>
            </w:r>
          </w:p>
        </w:tc>
        <w:tc>
          <w:tcPr>
            <w:tcW w:type="dxa" w:w="3900"/>
            <w:tcMar>
              <w:top w:type="dxa" w:w="100"/>
              <w:left w:type="dxa" w:w="120"/>
              <w:bottom w:type="dxa" w:w="100"/>
              <w:right w:type="dxa" w:w="120"/>
            </w:tcMar>
          </w:tcPr>
          <w:p>
            <w:r>
              <w:rPr>
                <w:b w:val="false"/>
                <w:bCs w:val="false"/>
                <w:sz w:val="20"/>
                <w:szCs w:val="20"/>
              </w:rPr>
              <w:t xml:space="preserve">Supabase + posible VM en Azure</w:t>
            </w:r>
          </w:p>
        </w:tc>
      </w:tr>
      <w:tr>
        <w:tc>
          <w:tcPr>
            <w:tcW w:type="dxa" w:w="2600"/>
            <w:shd w:fill="F1EFE8" w:val="clear"/>
            <w:tcMar>
              <w:top w:type="dxa" w:w="100"/>
              <w:left w:type="dxa" w:w="120"/>
              <w:bottom w:type="dxa" w:w="100"/>
              <w:right w:type="dxa" w:w="120"/>
            </w:tcMar>
          </w:tcPr>
          <w:p>
            <w:r>
              <w:rPr>
                <w:b w:val="false"/>
                <w:bCs w:val="false"/>
                <w:sz w:val="20"/>
                <w:szCs w:val="20"/>
              </w:rPr>
              <w:t xml:space="preserve">Portal de devoluciones</w:t>
            </w:r>
          </w:p>
        </w:tc>
        <w:tc>
          <w:tcPr>
            <w:tcW w:type="dxa" w:w="2600"/>
            <w:shd w:fill="F1EFE8" w:val="clear"/>
            <w:tcMar>
              <w:top w:type="dxa" w:w="100"/>
              <w:left w:type="dxa" w:w="120"/>
              <w:bottom w:type="dxa" w:w="100"/>
              <w:right w:type="dxa" w:w="120"/>
            </w:tcMar>
          </w:tcPr>
          <w:p>
            <w:r>
              <w:rPr>
                <w:b w:val="false"/>
                <w:bCs w:val="false"/>
                <w:sz w:val="20"/>
                <w:szCs w:val="20"/>
              </w:rPr>
              <w:t xml:space="preserve">MySQL</w:t>
            </w:r>
          </w:p>
        </w:tc>
        <w:tc>
          <w:tcPr>
            <w:tcW w:type="dxa" w:w="3900"/>
            <w:shd w:fill="F1EFE8" w:val="clear"/>
            <w:tcMar>
              <w:top w:type="dxa" w:w="100"/>
              <w:left w:type="dxa" w:w="120"/>
              <w:bottom w:type="dxa" w:w="100"/>
              <w:right w:type="dxa" w:w="120"/>
            </w:tcMar>
          </w:tcPr>
          <w:p>
            <w:r>
              <w:rPr>
                <w:b w:val="false"/>
                <w:bCs w:val="false"/>
                <w:sz w:val="20"/>
                <w:szCs w:val="20"/>
              </w:rPr>
              <w:t xml:space="preserve">Servidor Hostgate</w:t>
            </w:r>
          </w:p>
        </w:tc>
      </w:tr>
      <w:tr>
        <w:tc>
          <w:tcPr>
            <w:tcW w:type="dxa" w:w="2600"/>
            <w:tcMar>
              <w:top w:type="dxa" w:w="100"/>
              <w:left w:type="dxa" w:w="120"/>
              <w:bottom w:type="dxa" w:w="100"/>
              <w:right w:type="dxa" w:w="120"/>
            </w:tcMar>
          </w:tcPr>
          <w:p>
            <w:r>
              <w:rPr>
                <w:b w:val="false"/>
                <w:bCs w:val="false"/>
                <w:sz w:val="20"/>
                <w:szCs w:val="20"/>
              </w:rPr>
              <w:t xml:space="preserve">Sistema de supervisión</w:t>
            </w:r>
          </w:p>
        </w:tc>
        <w:tc>
          <w:tcPr>
            <w:tcW w:type="dxa" w:w="2600"/>
            <w:tcMar>
              <w:top w:type="dxa" w:w="100"/>
              <w:left w:type="dxa" w:w="120"/>
              <w:bottom w:type="dxa" w:w="100"/>
              <w:right w:type="dxa" w:w="120"/>
            </w:tcMar>
          </w:tcPr>
          <w:p>
            <w:r>
              <w:rPr>
                <w:b w:val="false"/>
                <w:bCs w:val="false"/>
                <w:sz w:val="20"/>
                <w:szCs w:val="20"/>
              </w:rPr>
              <w:t xml:space="preserve">Postgres (Supabase)</w:t>
            </w:r>
          </w:p>
        </w:tc>
        <w:tc>
          <w:tcPr>
            <w:tcW w:type="dxa" w:w="3900"/>
            <w:tcMar>
              <w:top w:type="dxa" w:w="100"/>
              <w:left w:type="dxa" w:w="120"/>
              <w:bottom w:type="dxa" w:w="100"/>
              <w:right w:type="dxa" w:w="120"/>
            </w:tcMar>
          </w:tcPr>
          <w:p>
            <w:r>
              <w:rPr>
                <w:b w:val="false"/>
                <w:bCs w:val="false"/>
                <w:sz w:val="20"/>
                <w:szCs w:val="20"/>
              </w:rPr>
              <w:t xml:space="preserve">Supabase</w:t>
            </w:r>
          </w:p>
        </w:tc>
      </w:tr>
      <w:tr>
        <w:tc>
          <w:tcPr>
            <w:tcW w:type="dxa" w:w="2600"/>
            <w:shd w:fill="F1EFE8" w:val="clear"/>
            <w:tcMar>
              <w:top w:type="dxa" w:w="100"/>
              <w:left w:type="dxa" w:w="120"/>
              <w:bottom w:type="dxa" w:w="100"/>
              <w:right w:type="dxa" w:w="120"/>
            </w:tcMar>
          </w:tcPr>
          <w:p>
            <w:r>
              <w:rPr>
                <w:b w:val="false"/>
                <w:bCs w:val="false"/>
                <w:sz w:val="20"/>
                <w:szCs w:val="20"/>
              </w:rPr>
              <w:t xml:space="preserve">Monitoreo</w:t>
            </w:r>
          </w:p>
        </w:tc>
        <w:tc>
          <w:tcPr>
            <w:tcW w:type="dxa" w:w="2600"/>
            <w:shd w:fill="F1EFE8" w:val="clear"/>
            <w:tcMar>
              <w:top w:type="dxa" w:w="100"/>
              <w:left w:type="dxa" w:w="120"/>
              <w:bottom w:type="dxa" w:w="100"/>
              <w:right w:type="dxa" w:w="120"/>
            </w:tcMar>
          </w:tcPr>
          <w:p>
            <w:r>
              <w:rPr>
                <w:b w:val="false"/>
                <w:bCs w:val="false"/>
                <w:sz w:val="20"/>
                <w:szCs w:val="20"/>
              </w:rPr>
              <w:t xml:space="preserve">Postgres (Supabase)</w:t>
            </w:r>
          </w:p>
        </w:tc>
        <w:tc>
          <w:tcPr>
            <w:tcW w:type="dxa" w:w="3900"/>
            <w:shd w:fill="F1EFE8" w:val="clear"/>
            <w:tcMar>
              <w:top w:type="dxa" w:w="100"/>
              <w:left w:type="dxa" w:w="120"/>
              <w:bottom w:type="dxa" w:w="100"/>
              <w:right w:type="dxa" w:w="120"/>
            </w:tcMar>
          </w:tcPr>
          <w:p>
            <w:r>
              <w:rPr>
                <w:b w:val="false"/>
                <w:bCs w:val="false"/>
                <w:sz w:val="20"/>
                <w:szCs w:val="20"/>
              </w:rPr>
              <w:t xml:space="preserve">Supabase</w:t>
            </w:r>
          </w:p>
        </w:tc>
      </w:tr>
    </w:tbl>
    <w:p>
      <w:pPr>
        <w:spacing w:after="160"/>
      </w:pPr>
      <w:r>
        <w:t xml:space="preserve"/>
      </w:r>
    </w:p>
    <w:p>
      <w:pPr>
        <w:pStyle w:val="Heading2"/>
        <w:spacing w:after="120" w:before="280"/>
      </w:pPr>
      <w:r>
        <w:t xml:space="preserve">2.2 Situación operativa</w:t>
      </w:r>
    </w:p>
    <w:p>
      <w:pPr>
        <w:pStyle w:val="ListParagraph"/>
        <w:numPr>
          <w:ilvl w:val="0"/>
          <w:numId w:val="2"/>
        </w:numPr>
        <w:spacing w:after="80"/>
      </w:pPr>
      <w:r>
        <w:t xml:space="preserve">Reportes actuales generados de forma manual/semi-automatizada (script SQL → archivo Excel).</w:t>
      </w:r>
    </w:p>
    <w:p>
      <w:pPr>
        <w:pStyle w:val="ListParagraph"/>
        <w:numPr>
          <w:ilvl w:val="0"/>
          <w:numId w:val="2"/>
        </w:numPr>
        <w:spacing w:after="80"/>
      </w:pPr>
      <w:r>
        <w:t xml:space="preserve">Una API de extracción ya desarrollada y documentada para el reporte de ventas, desplegada actualmente en una cuenta personal gratuita de Azure — pendiente de migrar a la cuenta empresarial.</w:t>
      </w:r>
    </w:p>
    <w:p>
      <w:pPr>
        <w:pStyle w:val="ListParagraph"/>
        <w:numPr>
          <w:ilvl w:val="0"/>
          <w:numId w:val="2"/>
        </w:numPr>
        <w:spacing w:after="80"/>
      </w:pPr>
      <w:r>
        <w:t xml:space="preserve">No existe todavía visibilidad completa de qué reportes se alimentan de cada fuente, ni un inventario formal de accesos.</w:t>
      </w:r>
    </w:p>
    <w:p>
      <w:pPr>
        <w:pStyle w:val="ListParagraph"/>
        <w:numPr>
          <w:ilvl w:val="0"/>
          <w:numId w:val="2"/>
        </w:numPr>
        <w:spacing w:after="80"/>
      </w:pPr>
      <w:r>
        <w:t xml:space="preserve">La lógica de negocio detrás de los datos de reporting reside hoy principalmente en el conocimiento del jefe directo.</w:t>
      </w:r>
    </w:p>
    <w:p>
      <w:pPr>
        <w:pStyle w:val="Heading1"/>
        <w:spacing w:after="160" w:before="360"/>
      </w:pPr>
      <w:r>
        <w:t xml:space="preserve">3. Objetivo del proyecto</w:t>
      </w:r>
    </w:p>
    <w:p>
      <w:pPr>
        <w:spacing w:after="160"/>
      </w:pPr>
      <w:r>
        <w:t xml:space="preserve">Construir una plataforma de datos centralizada, escalable y de bajo mantenimiento operativo, que permita:</w:t>
      </w:r>
    </w:p>
    <w:p>
      <w:pPr>
        <w:pStyle w:val="ListParagraph"/>
        <w:numPr>
          <w:ilvl w:val="0"/>
          <w:numId w:val="2"/>
        </w:numPr>
        <w:spacing w:after="80"/>
      </w:pPr>
      <w:r>
        <w:t xml:space="preserve">Consolidar las seis fuentes de datos en un único repositorio confiable.</w:t>
      </w:r>
    </w:p>
    <w:p>
      <w:pPr>
        <w:pStyle w:val="ListParagraph"/>
        <w:numPr>
          <w:ilvl w:val="0"/>
          <w:numId w:val="2"/>
        </w:numPr>
        <w:spacing w:after="80"/>
      </w:pPr>
      <w:r>
        <w:t xml:space="preserve">Reducir la dependencia de reportes manuales en Excel.</w:t>
      </w:r>
    </w:p>
    <w:p>
      <w:pPr>
        <w:pStyle w:val="ListParagraph"/>
        <w:numPr>
          <w:ilvl w:val="0"/>
          <w:numId w:val="2"/>
        </w:numPr>
        <w:spacing w:after="80"/>
      </w:pPr>
      <w:r>
        <w:t xml:space="preserve">Acercar la información a tiempo casi real (segundos a minutos) para la toma de decisiones.</w:t>
      </w:r>
    </w:p>
    <w:p>
      <w:pPr>
        <w:pStyle w:val="ListParagraph"/>
        <w:numPr>
          <w:ilvl w:val="0"/>
          <w:numId w:val="2"/>
        </w:numPr>
        <w:spacing w:after="80"/>
      </w:pPr>
      <w:r>
        <w:t xml:space="preserve">Habilitar, en una segunda fase, capacidades de inteligencia artificial: predicciones de demanda/ventas/devoluciones, detección de anomalías en monitoreo y supervisión, y un asistente conversacional interno sobre los datos del negocio.</w:t>
      </w:r>
    </w:p>
    <w:p>
      <w:pPr>
        <w:pStyle w:val="ListParagraph"/>
        <w:numPr>
          <w:ilvl w:val="0"/>
          <w:numId w:val="2"/>
        </w:numPr>
        <w:spacing w:after="80"/>
      </w:pPr>
      <w:r>
        <w:t xml:space="preserve">Minimizar la carga de administración de infraestructura, priorizando servicios totalmente gestionados dado el tamaño actual del equipo técnico.</w:t>
      </w:r>
    </w:p>
    <w:p>
      <w:pPr>
        <w:pStyle w:val="Heading1"/>
        <w:spacing w:after="160" w:before="360"/>
      </w:pPr>
      <w:r>
        <w:t xml:space="preserve">4. Evaluación de plataforma: AWS vs. Azure</w:t>
      </w:r>
    </w:p>
    <w:p>
      <w:pPr>
        <w:spacing w:after="160"/>
      </w:pPr>
      <w:r>
        <w:rPr>
          <w:b w:val="false"/>
          <w:bCs w:val="false"/>
        </w:rPr>
        <w:t xml:space="preserve">El diseño técnico original se planteó sobre AWS por ser el estándar de facto en soluciones de lakehouse abierto. Sin embargo, dado que la empresa ya opera una suscripción empresarial en Azure —donde residen al menos dos de las seis fuentes—, vale la pena comparar ambas rutas antes de comprometer una decisión.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D6F56" w:val="clear"/>
            <w:tcMar>
              <w:top w:type="dxa" w:w="100"/>
              <w:left w:type="dxa" w:w="120"/>
              <w:bottom w:type="dxa" w:w="100"/>
              <w:right w:type="dxa" w:w="120"/>
            </w:tcMar>
          </w:tcPr>
          <w:p>
            <w:r>
              <w:rPr>
                <w:b/>
                <w:bCs/>
                <w:color w:val="FFFFFF"/>
                <w:sz w:val="20"/>
                <w:szCs w:val="20"/>
              </w:rPr>
              <w:t xml:space="preserve">Criterio</w:t>
            </w:r>
          </w:p>
        </w:tc>
        <w:tc>
          <w:tcPr>
            <w:tcW w:type="dxa" w:w="3550"/>
            <w:shd w:fill="1D6F56" w:val="clear"/>
            <w:tcMar>
              <w:top w:type="dxa" w:w="100"/>
              <w:left w:type="dxa" w:w="120"/>
              <w:bottom w:type="dxa" w:w="100"/>
              <w:right w:type="dxa" w:w="120"/>
            </w:tcMar>
          </w:tcPr>
          <w:p>
            <w:r>
              <w:rPr>
                <w:b/>
                <w:bCs/>
                <w:color w:val="FFFFFF"/>
                <w:sz w:val="20"/>
                <w:szCs w:val="20"/>
              </w:rPr>
              <w:t xml:space="preserve">AWS (cuenta nueva)</w:t>
            </w:r>
          </w:p>
        </w:tc>
        <w:tc>
          <w:tcPr>
            <w:tcW w:type="dxa" w:w="3550"/>
            <w:shd w:fill="1D6F56" w:val="clear"/>
            <w:tcMar>
              <w:top w:type="dxa" w:w="100"/>
              <w:left w:type="dxa" w:w="120"/>
              <w:bottom w:type="dxa" w:w="100"/>
              <w:right w:type="dxa" w:w="120"/>
            </w:tcMar>
          </w:tcPr>
          <w:p>
            <w:r>
              <w:rPr>
                <w:b/>
                <w:bCs/>
                <w:color w:val="FFFFFF"/>
                <w:sz w:val="20"/>
                <w:szCs w:val="20"/>
              </w:rPr>
              <w:t xml:space="preserve">Azure (cuenta empresarial existente)</w:t>
            </w:r>
          </w:p>
        </w:tc>
      </w:tr>
      <w:tr>
        <w:tc>
          <w:tcPr>
            <w:tcW w:type="dxa" w:w="2000"/>
            <w:shd w:fill="F1EFE8" w:val="clear"/>
            <w:tcMar>
              <w:top w:type="dxa" w:w="100"/>
              <w:left w:type="dxa" w:w="120"/>
              <w:bottom w:type="dxa" w:w="100"/>
              <w:right w:type="dxa" w:w="120"/>
            </w:tcMar>
          </w:tcPr>
          <w:p>
            <w:r>
              <w:rPr>
                <w:b w:val="false"/>
                <w:bCs w:val="false"/>
                <w:sz w:val="20"/>
                <w:szCs w:val="20"/>
              </w:rPr>
              <w:t xml:space="preserve">Costo de arranque</w:t>
            </w:r>
          </w:p>
        </w:tc>
        <w:tc>
          <w:tcPr>
            <w:tcW w:type="dxa" w:w="3550"/>
            <w:shd w:fill="F1EFE8" w:val="clear"/>
            <w:tcMar>
              <w:top w:type="dxa" w:w="100"/>
              <w:left w:type="dxa" w:w="120"/>
              <w:bottom w:type="dxa" w:w="100"/>
              <w:right w:type="dxa" w:w="120"/>
            </w:tcMar>
          </w:tcPr>
          <w:p>
            <w:r>
              <w:rPr>
                <w:b w:val="false"/>
                <w:bCs w:val="false"/>
                <w:sz w:val="20"/>
                <w:szCs w:val="20"/>
              </w:rPr>
              <w:t xml:space="preserve">Requiere alta de cuenta nueva; sin descuentos previos</w:t>
            </w:r>
          </w:p>
        </w:tc>
        <w:tc>
          <w:tcPr>
            <w:tcW w:type="dxa" w:w="3550"/>
            <w:shd w:fill="F1EFE8" w:val="clear"/>
            <w:tcMar>
              <w:top w:type="dxa" w:w="100"/>
              <w:left w:type="dxa" w:w="120"/>
              <w:bottom w:type="dxa" w:w="100"/>
              <w:right w:type="dxa" w:w="120"/>
            </w:tcMar>
          </w:tcPr>
          <w:p>
            <w:r>
              <w:rPr>
                <w:b w:val="false"/>
                <w:bCs w:val="false"/>
                <w:sz w:val="20"/>
                <w:szCs w:val="20"/>
              </w:rPr>
              <w:t xml:space="preserve">Aprovecha el acuerdo empresarial ya negociado; evita doble facturación de dos nubes</w:t>
            </w:r>
          </w:p>
        </w:tc>
      </w:tr>
      <w:tr>
        <w:tc>
          <w:tcPr>
            <w:tcW w:type="dxa" w:w="2000"/>
            <w:tcMar>
              <w:top w:type="dxa" w:w="100"/>
              <w:left w:type="dxa" w:w="120"/>
              <w:bottom w:type="dxa" w:w="100"/>
              <w:right w:type="dxa" w:w="120"/>
            </w:tcMar>
          </w:tcPr>
          <w:p>
            <w:r>
              <w:rPr>
                <w:b w:val="false"/>
                <w:bCs w:val="false"/>
                <w:sz w:val="20"/>
                <w:szCs w:val="20"/>
              </w:rPr>
              <w:t xml:space="preserve">Fuentes ya en la nube</w:t>
            </w:r>
          </w:p>
        </w:tc>
        <w:tc>
          <w:tcPr>
            <w:tcW w:type="dxa" w:w="3550"/>
            <w:tcMar>
              <w:top w:type="dxa" w:w="100"/>
              <w:left w:type="dxa" w:w="120"/>
              <w:bottom w:type="dxa" w:w="100"/>
              <w:right w:type="dxa" w:w="120"/>
            </w:tcMar>
          </w:tcPr>
          <w:p>
            <w:r>
              <w:rPr>
                <w:b w:val="false"/>
                <w:bCs w:val="false"/>
                <w:sz w:val="20"/>
                <w:szCs w:val="20"/>
              </w:rPr>
              <w:t xml:space="preserve">Ninguna</w:t>
            </w:r>
          </w:p>
        </w:tc>
        <w:tc>
          <w:tcPr>
            <w:tcW w:type="dxa" w:w="3550"/>
            <w:tcMar>
              <w:top w:type="dxa" w:w="100"/>
              <w:left w:type="dxa" w:w="120"/>
              <w:bottom w:type="dxa" w:w="100"/>
              <w:right w:type="dxa" w:w="120"/>
            </w:tcMar>
          </w:tcPr>
          <w:p>
            <w:r>
              <w:rPr>
                <w:b w:val="false"/>
                <w:bCs w:val="false"/>
                <w:sz w:val="20"/>
                <w:szCs w:val="20"/>
              </w:rPr>
              <w:t xml:space="preserve">Portal de ventas y (posiblemente) CRM ya están en esta cuenta</w:t>
            </w:r>
          </w:p>
        </w:tc>
      </w:tr>
      <w:tr>
        <w:tc>
          <w:tcPr>
            <w:tcW w:type="dxa" w:w="2000"/>
            <w:shd w:fill="F1EFE8" w:val="clear"/>
            <w:tcMar>
              <w:top w:type="dxa" w:w="100"/>
              <w:left w:type="dxa" w:w="120"/>
              <w:bottom w:type="dxa" w:w="100"/>
              <w:right w:type="dxa" w:w="120"/>
            </w:tcMar>
          </w:tcPr>
          <w:p>
            <w:r>
              <w:rPr>
                <w:b w:val="false"/>
                <w:bCs w:val="false"/>
                <w:sz w:val="20"/>
                <w:szCs w:val="20"/>
              </w:rPr>
              <w:t xml:space="preserve">Conectividad de red</w:t>
            </w:r>
          </w:p>
        </w:tc>
        <w:tc>
          <w:tcPr>
            <w:tcW w:type="dxa" w:w="3550"/>
            <w:shd w:fill="F1EFE8" w:val="clear"/>
            <w:tcMar>
              <w:top w:type="dxa" w:w="100"/>
              <w:left w:type="dxa" w:w="120"/>
              <w:bottom w:type="dxa" w:w="100"/>
              <w:right w:type="dxa" w:w="120"/>
            </w:tcMar>
          </w:tcPr>
          <w:p>
            <w:r>
              <w:rPr>
                <w:b w:val="false"/>
                <w:bCs w:val="false"/>
                <w:sz w:val="20"/>
                <w:szCs w:val="20"/>
              </w:rPr>
              <w:t xml:space="preserve">Todas las fuentes requieren salida a internet o VPN hacia AWS</w:t>
            </w:r>
          </w:p>
        </w:tc>
        <w:tc>
          <w:tcPr>
            <w:tcW w:type="dxa" w:w="3550"/>
            <w:shd w:fill="F1EFE8" w:val="clear"/>
            <w:tcMar>
              <w:top w:type="dxa" w:w="100"/>
              <w:left w:type="dxa" w:w="120"/>
              <w:bottom w:type="dxa" w:w="100"/>
              <w:right w:type="dxa" w:w="120"/>
            </w:tcMar>
          </w:tcPr>
          <w:p>
            <w:r>
              <w:rPr>
                <w:b w:val="false"/>
                <w:bCs w:val="false"/>
                <w:sz w:val="20"/>
                <w:szCs w:val="20"/>
              </w:rPr>
              <w:t xml:space="preserve">Las fuentes ya alojadas en Azure se conectan de forma nativa; Supabase y Hostgate igual requieren conexión externa en ambos casos</w:t>
            </w:r>
          </w:p>
        </w:tc>
      </w:tr>
      <w:tr>
        <w:tc>
          <w:tcPr>
            <w:tcW w:type="dxa" w:w="2000"/>
            <w:tcMar>
              <w:top w:type="dxa" w:w="100"/>
              <w:left w:type="dxa" w:w="120"/>
              <w:bottom w:type="dxa" w:w="100"/>
              <w:right w:type="dxa" w:w="120"/>
            </w:tcMar>
          </w:tcPr>
          <w:p>
            <w:r>
              <w:rPr>
                <w:b w:val="false"/>
                <w:bCs w:val="false"/>
                <w:sz w:val="20"/>
                <w:szCs w:val="20"/>
              </w:rPr>
              <w:t xml:space="preserve">Formato de tabla lakehouse</w:t>
            </w:r>
          </w:p>
        </w:tc>
        <w:tc>
          <w:tcPr>
            <w:tcW w:type="dxa" w:w="3550"/>
            <w:tcMar>
              <w:top w:type="dxa" w:w="100"/>
              <w:left w:type="dxa" w:w="120"/>
              <w:bottom w:type="dxa" w:w="100"/>
              <w:right w:type="dxa" w:w="120"/>
            </w:tcMar>
          </w:tcPr>
          <w:p>
            <w:r>
              <w:rPr>
                <w:b w:val="false"/>
                <w:bCs w:val="false"/>
                <w:sz w:val="20"/>
                <w:szCs w:val="20"/>
              </w:rPr>
              <w:t xml:space="preserve">Apache Iceberg (Glue + Athena)</w:t>
            </w:r>
          </w:p>
        </w:tc>
        <w:tc>
          <w:tcPr>
            <w:tcW w:type="dxa" w:w="3550"/>
            <w:tcMar>
              <w:top w:type="dxa" w:w="100"/>
              <w:left w:type="dxa" w:w="120"/>
              <w:bottom w:type="dxa" w:w="100"/>
              <w:right w:type="dxa" w:w="120"/>
            </w:tcMar>
          </w:tcPr>
          <w:p>
            <w:r>
              <w:rPr>
                <w:b w:val="false"/>
                <w:bCs w:val="false"/>
                <w:sz w:val="20"/>
                <w:szCs w:val="20"/>
              </w:rPr>
              <w:t xml:space="preserve">Delta Lake (Microsoft Fabric / Synapse), estándar abierto equivalente</w:t>
            </w:r>
          </w:p>
        </w:tc>
      </w:tr>
      <w:tr>
        <w:tc>
          <w:tcPr>
            <w:tcW w:type="dxa" w:w="2000"/>
            <w:shd w:fill="F1EFE8" w:val="clear"/>
            <w:tcMar>
              <w:top w:type="dxa" w:w="100"/>
              <w:left w:type="dxa" w:w="120"/>
              <w:bottom w:type="dxa" w:w="100"/>
              <w:right w:type="dxa" w:w="120"/>
            </w:tcMar>
          </w:tcPr>
          <w:p>
            <w:r>
              <w:rPr>
                <w:b w:val="false"/>
                <w:bCs w:val="false"/>
                <w:sz w:val="20"/>
                <w:szCs w:val="20"/>
              </w:rPr>
              <w:t xml:space="preserve">Ingesta CDC</w:t>
            </w:r>
          </w:p>
        </w:tc>
        <w:tc>
          <w:tcPr>
            <w:tcW w:type="dxa" w:w="3550"/>
            <w:shd w:fill="F1EFE8" w:val="clear"/>
            <w:tcMar>
              <w:top w:type="dxa" w:w="100"/>
              <w:left w:type="dxa" w:w="120"/>
              <w:bottom w:type="dxa" w:w="100"/>
              <w:right w:type="dxa" w:w="120"/>
            </w:tcMar>
          </w:tcPr>
          <w:p>
            <w:r>
              <w:rPr>
                <w:b w:val="false"/>
                <w:bCs w:val="false"/>
                <w:sz w:val="20"/>
                <w:szCs w:val="20"/>
              </w:rPr>
              <w:t xml:space="preserve">AWS DMS</w:t>
            </w:r>
          </w:p>
        </w:tc>
        <w:tc>
          <w:tcPr>
            <w:tcW w:type="dxa" w:w="3550"/>
            <w:shd w:fill="F1EFE8" w:val="clear"/>
            <w:tcMar>
              <w:top w:type="dxa" w:w="100"/>
              <w:left w:type="dxa" w:w="120"/>
              <w:bottom w:type="dxa" w:w="100"/>
              <w:right w:type="dxa" w:w="120"/>
            </w:tcMar>
          </w:tcPr>
          <w:p>
            <w:r>
              <w:rPr>
                <w:b w:val="false"/>
                <w:bCs w:val="false"/>
                <w:sz w:val="20"/>
                <w:szCs w:val="20"/>
              </w:rPr>
              <w:t xml:space="preserve">Azure Data Factory (conectores CDC) / Fabric</w:t>
            </w:r>
          </w:p>
        </w:tc>
      </w:tr>
      <w:tr>
        <w:tc>
          <w:tcPr>
            <w:tcW w:type="dxa" w:w="2000"/>
            <w:tcMar>
              <w:top w:type="dxa" w:w="100"/>
              <w:left w:type="dxa" w:w="120"/>
              <w:bottom w:type="dxa" w:w="100"/>
              <w:right w:type="dxa" w:w="120"/>
            </w:tcMar>
          </w:tcPr>
          <w:p>
            <w:r>
              <w:rPr>
                <w:b w:val="false"/>
                <w:bCs w:val="false"/>
                <w:sz w:val="20"/>
                <w:szCs w:val="20"/>
              </w:rPr>
              <w:t xml:space="preserve">Consulta SQL</w:t>
            </w:r>
          </w:p>
        </w:tc>
        <w:tc>
          <w:tcPr>
            <w:tcW w:type="dxa" w:w="3550"/>
            <w:tcMar>
              <w:top w:type="dxa" w:w="100"/>
              <w:left w:type="dxa" w:w="120"/>
              <w:bottom w:type="dxa" w:w="100"/>
              <w:right w:type="dxa" w:w="120"/>
            </w:tcMar>
          </w:tcPr>
          <w:p>
            <w:r>
              <w:rPr>
                <w:b w:val="false"/>
                <w:bCs w:val="false"/>
                <w:sz w:val="20"/>
                <w:szCs w:val="20"/>
              </w:rPr>
              <w:t xml:space="preserve">Amazon Athena / Redshift Spectrum</w:t>
            </w:r>
          </w:p>
        </w:tc>
        <w:tc>
          <w:tcPr>
            <w:tcW w:type="dxa" w:w="3550"/>
            <w:tcMar>
              <w:top w:type="dxa" w:w="100"/>
              <w:left w:type="dxa" w:w="120"/>
              <w:bottom w:type="dxa" w:w="100"/>
              <w:right w:type="dxa" w:w="120"/>
            </w:tcMar>
          </w:tcPr>
          <w:p>
            <w:r>
              <w:rPr>
                <w:b w:val="false"/>
                <w:bCs w:val="false"/>
                <w:sz w:val="20"/>
                <w:szCs w:val="20"/>
              </w:rPr>
              <w:t xml:space="preserve">Microsoft Fabric Lakehouse / Synapse Analytics</w:t>
            </w:r>
          </w:p>
        </w:tc>
      </w:tr>
      <w:tr>
        <w:tc>
          <w:tcPr>
            <w:tcW w:type="dxa" w:w="2000"/>
            <w:shd w:fill="F1EFE8" w:val="clear"/>
            <w:tcMar>
              <w:top w:type="dxa" w:w="100"/>
              <w:left w:type="dxa" w:w="120"/>
              <w:bottom w:type="dxa" w:w="100"/>
              <w:right w:type="dxa" w:w="120"/>
            </w:tcMar>
          </w:tcPr>
          <w:p>
            <w:r>
              <w:rPr>
                <w:b w:val="false"/>
                <w:bCs w:val="false"/>
                <w:sz w:val="20"/>
                <w:szCs w:val="20"/>
              </w:rPr>
              <w:t xml:space="preserve">Predicciones (ML)</w:t>
            </w:r>
          </w:p>
        </w:tc>
        <w:tc>
          <w:tcPr>
            <w:tcW w:type="dxa" w:w="3550"/>
            <w:shd w:fill="F1EFE8" w:val="clear"/>
            <w:tcMar>
              <w:top w:type="dxa" w:w="100"/>
              <w:left w:type="dxa" w:w="120"/>
              <w:bottom w:type="dxa" w:w="100"/>
              <w:right w:type="dxa" w:w="120"/>
            </w:tcMar>
          </w:tcPr>
          <w:p>
            <w:r>
              <w:rPr>
                <w:b w:val="false"/>
                <w:bCs w:val="false"/>
                <w:sz w:val="20"/>
                <w:szCs w:val="20"/>
              </w:rPr>
              <w:t xml:space="preserve">Amazon Forecast / SageMaker Canvas</w:t>
            </w:r>
          </w:p>
        </w:tc>
        <w:tc>
          <w:tcPr>
            <w:tcW w:type="dxa" w:w="3550"/>
            <w:shd w:fill="F1EFE8" w:val="clear"/>
            <w:tcMar>
              <w:top w:type="dxa" w:w="100"/>
              <w:left w:type="dxa" w:w="120"/>
              <w:bottom w:type="dxa" w:w="100"/>
              <w:right w:type="dxa" w:w="120"/>
            </w:tcMar>
          </w:tcPr>
          <w:p>
            <w:r>
              <w:rPr>
                <w:b w:val="false"/>
                <w:bCs w:val="false"/>
                <w:sz w:val="20"/>
                <w:szCs w:val="20"/>
              </w:rPr>
              <w:t xml:space="preserve">Azure Machine Learning / Fabric Data Science</w:t>
            </w:r>
          </w:p>
        </w:tc>
      </w:tr>
      <w:tr>
        <w:tc>
          <w:tcPr>
            <w:tcW w:type="dxa" w:w="2000"/>
            <w:tcMar>
              <w:top w:type="dxa" w:w="100"/>
              <w:left w:type="dxa" w:w="120"/>
              <w:bottom w:type="dxa" w:w="100"/>
              <w:right w:type="dxa" w:w="120"/>
            </w:tcMar>
          </w:tcPr>
          <w:p>
            <w:r>
              <w:rPr>
                <w:b w:val="false"/>
                <w:bCs w:val="false"/>
                <w:sz w:val="20"/>
                <w:szCs w:val="20"/>
              </w:rPr>
              <w:t xml:space="preserve">IA generativa / chatbot</w:t>
            </w:r>
          </w:p>
        </w:tc>
        <w:tc>
          <w:tcPr>
            <w:tcW w:type="dxa" w:w="3550"/>
            <w:tcMar>
              <w:top w:type="dxa" w:w="100"/>
              <w:left w:type="dxa" w:w="120"/>
              <w:bottom w:type="dxa" w:w="100"/>
              <w:right w:type="dxa" w:w="120"/>
            </w:tcMar>
          </w:tcPr>
          <w:p>
            <w:r>
              <w:rPr>
                <w:b w:val="false"/>
                <w:bCs w:val="false"/>
                <w:sz w:val="20"/>
                <w:szCs w:val="20"/>
              </w:rPr>
              <w:t xml:space="preserve">Amazon Bedrock</w:t>
            </w:r>
          </w:p>
        </w:tc>
        <w:tc>
          <w:tcPr>
            <w:tcW w:type="dxa" w:w="3550"/>
            <w:tcMar>
              <w:top w:type="dxa" w:w="100"/>
              <w:left w:type="dxa" w:w="120"/>
              <w:bottom w:type="dxa" w:w="100"/>
              <w:right w:type="dxa" w:w="120"/>
            </w:tcMar>
          </w:tcPr>
          <w:p>
            <w:r>
              <w:rPr>
                <w:b w:val="false"/>
                <w:bCs w:val="false"/>
                <w:sz w:val="20"/>
                <w:szCs w:val="20"/>
              </w:rPr>
              <w:t xml:space="preserve">Azure OpenAI Service</w:t>
            </w:r>
          </w:p>
        </w:tc>
      </w:tr>
      <w:tr>
        <w:tc>
          <w:tcPr>
            <w:tcW w:type="dxa" w:w="2000"/>
            <w:shd w:fill="F1EFE8" w:val="clear"/>
            <w:tcMar>
              <w:top w:type="dxa" w:w="100"/>
              <w:left w:type="dxa" w:w="120"/>
              <w:bottom w:type="dxa" w:w="100"/>
              <w:right w:type="dxa" w:w="120"/>
            </w:tcMar>
          </w:tcPr>
          <w:p>
            <w:r>
              <w:rPr>
                <w:b w:val="false"/>
                <w:bCs w:val="false"/>
                <w:sz w:val="20"/>
                <w:szCs w:val="20"/>
              </w:rPr>
              <w:t xml:space="preserve">Detección de anomalías</w:t>
            </w:r>
          </w:p>
        </w:tc>
        <w:tc>
          <w:tcPr>
            <w:tcW w:type="dxa" w:w="3550"/>
            <w:shd w:fill="F1EFE8" w:val="clear"/>
            <w:tcMar>
              <w:top w:type="dxa" w:w="100"/>
              <w:left w:type="dxa" w:w="120"/>
              <w:bottom w:type="dxa" w:w="100"/>
              <w:right w:type="dxa" w:w="120"/>
            </w:tcMar>
          </w:tcPr>
          <w:p>
            <w:r>
              <w:rPr>
                <w:b w:val="false"/>
                <w:bCs w:val="false"/>
                <w:sz w:val="20"/>
                <w:szCs w:val="20"/>
              </w:rPr>
              <w:t xml:space="preserve">Amazon Lookout for Metrics</w:t>
            </w:r>
          </w:p>
        </w:tc>
        <w:tc>
          <w:tcPr>
            <w:tcW w:type="dxa" w:w="3550"/>
            <w:shd w:fill="F1EFE8" w:val="clear"/>
            <w:tcMar>
              <w:top w:type="dxa" w:w="100"/>
              <w:left w:type="dxa" w:w="120"/>
              <w:bottom w:type="dxa" w:w="100"/>
              <w:right w:type="dxa" w:w="120"/>
            </w:tcMar>
          </w:tcPr>
          <w:p>
            <w:r>
              <w:rPr>
                <w:b w:val="false"/>
                <w:bCs w:val="false"/>
                <w:sz w:val="20"/>
                <w:szCs w:val="20"/>
              </w:rPr>
              <w:t xml:space="preserve">Capacidades dentro de Fabric Real-Time Intelligence / Azure ML (a validar vigencia del servicio)</w:t>
            </w:r>
          </w:p>
        </w:tc>
      </w:tr>
      <w:tr>
        <w:tc>
          <w:tcPr>
            <w:tcW w:type="dxa" w:w="2000"/>
            <w:tcMar>
              <w:top w:type="dxa" w:w="100"/>
              <w:left w:type="dxa" w:w="120"/>
              <w:bottom w:type="dxa" w:w="100"/>
              <w:right w:type="dxa" w:w="120"/>
            </w:tcMar>
          </w:tcPr>
          <w:p>
            <w:r>
              <w:rPr>
                <w:b w:val="false"/>
                <w:bCs w:val="false"/>
                <w:sz w:val="20"/>
                <w:szCs w:val="20"/>
              </w:rPr>
              <w:t xml:space="preserve">Gobierno de datos</w:t>
            </w:r>
          </w:p>
        </w:tc>
        <w:tc>
          <w:tcPr>
            <w:tcW w:type="dxa" w:w="3550"/>
            <w:tcMar>
              <w:top w:type="dxa" w:w="100"/>
              <w:left w:type="dxa" w:w="120"/>
              <w:bottom w:type="dxa" w:w="100"/>
              <w:right w:type="dxa" w:w="120"/>
            </w:tcMar>
          </w:tcPr>
          <w:p>
            <w:r>
              <w:rPr>
                <w:b w:val="false"/>
                <w:bCs w:val="false"/>
                <w:sz w:val="20"/>
                <w:szCs w:val="20"/>
              </w:rPr>
              <w:t xml:space="preserve">AWS Lake Formation</w:t>
            </w:r>
          </w:p>
        </w:tc>
        <w:tc>
          <w:tcPr>
            <w:tcW w:type="dxa" w:w="3550"/>
            <w:tcMar>
              <w:top w:type="dxa" w:w="100"/>
              <w:left w:type="dxa" w:w="120"/>
              <w:bottom w:type="dxa" w:w="100"/>
              <w:right w:type="dxa" w:w="120"/>
            </w:tcMar>
          </w:tcPr>
          <w:p>
            <w:r>
              <w:rPr>
                <w:b w:val="false"/>
                <w:bCs w:val="false"/>
                <w:sz w:val="20"/>
                <w:szCs w:val="20"/>
              </w:rPr>
              <w:t xml:space="preserve">Microsoft Purview</w:t>
            </w:r>
          </w:p>
        </w:tc>
      </w:tr>
      <w:tr>
        <w:tc>
          <w:tcPr>
            <w:tcW w:type="dxa" w:w="2000"/>
            <w:shd w:fill="F1EFE8" w:val="clear"/>
            <w:tcMar>
              <w:top w:type="dxa" w:w="100"/>
              <w:left w:type="dxa" w:w="120"/>
              <w:bottom w:type="dxa" w:w="100"/>
              <w:right w:type="dxa" w:w="120"/>
            </w:tcMar>
          </w:tcPr>
          <w:p>
            <w:r>
              <w:rPr>
                <w:b w:val="false"/>
                <w:bCs w:val="false"/>
                <w:sz w:val="20"/>
                <w:szCs w:val="20"/>
              </w:rPr>
              <w:t xml:space="preserve">Curva de aprendizaje del equipo</w:t>
            </w:r>
          </w:p>
        </w:tc>
        <w:tc>
          <w:tcPr>
            <w:tcW w:type="dxa" w:w="3550"/>
            <w:shd w:fill="F1EFE8" w:val="clear"/>
            <w:tcMar>
              <w:top w:type="dxa" w:w="100"/>
              <w:left w:type="dxa" w:w="120"/>
              <w:bottom w:type="dxa" w:w="100"/>
              <w:right w:type="dxa" w:w="120"/>
            </w:tcMar>
          </w:tcPr>
          <w:p>
            <w:r>
              <w:rPr>
                <w:b w:val="false"/>
                <w:bCs w:val="false"/>
                <w:sz w:val="20"/>
                <w:szCs w:val="20"/>
              </w:rPr>
              <w:t xml:space="preserve">Nueva nube completa por aprender</w:t>
            </w:r>
          </w:p>
        </w:tc>
        <w:tc>
          <w:tcPr>
            <w:tcW w:type="dxa" w:w="3550"/>
            <w:shd w:fill="F1EFE8" w:val="clear"/>
            <w:tcMar>
              <w:top w:type="dxa" w:w="100"/>
              <w:left w:type="dxa" w:w="120"/>
              <w:bottom w:type="dxa" w:w="100"/>
              <w:right w:type="dxa" w:w="120"/>
            </w:tcMar>
          </w:tcPr>
          <w:p>
            <w:r>
              <w:rPr>
                <w:b w:val="false"/>
                <w:bCs w:val="false"/>
                <w:sz w:val="20"/>
                <w:szCs w:val="20"/>
              </w:rPr>
              <w:t xml:space="preserve">Equipo ya tiene primer contacto (API desplegada en Azure)</w:t>
            </w:r>
          </w:p>
        </w:tc>
      </w:tr>
    </w:tbl>
    <w:p>
      <w:pPr>
        <w:spacing w:after="160"/>
      </w:pPr>
      <w:r>
        <w:t xml:space="preserve"/>
      </w:r>
    </w:p>
    <w:p>
      <w:pPr>
        <w:spacing w:after="160"/>
      </w:pPr>
      <w:r>
        <w:rPr>
          <w:i/>
          <w:iCs/>
          <w:color w:val="666666"/>
          <w:sz w:val="20"/>
          <w:szCs w:val="20"/>
        </w:rPr>
        <w:t xml:space="preserve">Nota: los nombres de servicios de Azure orientados a IA generativa y detección de anomalías cambian con frecuencia; se recomienda validar la oferta vigente directamente en la documentación de Microsoft antes de comprometer la arquitectura final.</w:t>
      </w:r>
    </w:p>
    <w:p>
      <w:pPr>
        <w:pStyle w:val="Heading1"/>
        <w:spacing w:after="160" w:before="360"/>
      </w:pPr>
      <w:r>
        <w:t xml:space="preserve">5. Recomendación</w:t>
      </w:r>
    </w:p>
    <w:p>
      <w:pPr>
        <w:spacing w:after="160"/>
      </w:pPr>
      <w:r>
        <w:t xml:space="preserve">Con la información disponible, construir sobre la cuenta empresarial de Azure existente es la ruta de menor fricción: evita administrar dos proveedores de nube en paralelo, aprovecha un contrato ya negociado y reduce la complejidad de conectividad para las fuentes que ya residen ahí. Azure ofrece un stack de lakehouse funcionalmente equivalente al de AWS (Delta Lake en lugar de Iceberg, Azure Data Factory en lugar de AWS DMS, Azure OpenAI en lugar de Bedrock).</w:t>
      </w:r>
    </w:p>
    <w:p>
      <w:pPr>
        <w:spacing w:after="160"/>
      </w:pPr>
      <w:r>
        <w:t xml:space="preserve">Esta recomendación queda condicionada a dos validaciones pendientes, detalladas en la sección 7:</w:t>
      </w:r>
    </w:p>
    <w:p>
      <w:pPr>
        <w:pStyle w:val="ListParagraph"/>
        <w:numPr>
          <w:ilvl w:val="0"/>
          <w:numId w:val="2"/>
        </w:numPr>
        <w:spacing w:after="80"/>
      </w:pPr>
      <w:r>
        <w:t xml:space="preserve">Confirmar el costo mensual real actual de la cuenta empresarial de Azure y el margen disponible dentro del acuerdo contractual.</w:t>
      </w:r>
    </w:p>
    <w:p>
      <w:pPr>
        <w:pStyle w:val="ListParagraph"/>
        <w:numPr>
          <w:ilvl w:val="0"/>
          <w:numId w:val="2"/>
        </w:numPr>
        <w:spacing w:after="80"/>
      </w:pPr>
      <w:r>
        <w:t xml:space="preserve">Confirmar con el jefe directo y con TI si existe alguna razón estratégica (contractual, de seguridad, o de otro proyecto en curso) para preferir un proveedor distinto.</w:t>
      </w:r>
    </w:p>
    <w:p>
      <w:pPr>
        <w:pStyle w:val="Heading1"/>
        <w:spacing w:after="160" w:before="360"/>
      </w:pPr>
      <w:r>
        <w:t xml:space="preserve">6. Arquitectura propuesta (alto nivel)</w:t>
      </w:r>
    </w:p>
    <w:p>
      <w:pPr>
        <w:spacing w:after="160"/>
      </w:pPr>
      <w:r>
        <w:t xml:space="preserve">Independientemente del proveedor final, el flujo de datos propuesto es el mismo:</w:t>
      </w:r>
    </w:p>
    <w:p>
      <w:pPr>
        <w:pStyle w:val="ListParagraph"/>
        <w:numPr>
          <w:ilvl w:val="0"/>
          <w:numId w:val="2"/>
        </w:numPr>
        <w:spacing w:after="80"/>
      </w:pPr>
      <w:r>
        <w:t xml:space="preserve">Las seis fuentes de datos se replican de forma continua (CDC, segundos a minutos de latencia) hacia el lakehouse, sin afectar los sistemas transaccionales.</w:t>
      </w:r>
    </w:p>
    <w:p>
      <w:pPr>
        <w:pStyle w:val="ListParagraph"/>
        <w:numPr>
          <w:ilvl w:val="0"/>
          <w:numId w:val="2"/>
        </w:numPr>
        <w:spacing w:after="80"/>
      </w:pPr>
      <w:r>
        <w:t xml:space="preserve">El lakehouse almacena los datos en un formato abierto (Iceberg o Delta Lake) sobre almacenamiento de objetos, organizado en capas: datos crudos, datos validados y datos listos para consumo.</w:t>
      </w:r>
    </w:p>
    <w:p>
      <w:pPr>
        <w:pStyle w:val="ListParagraph"/>
        <w:numPr>
          <w:ilvl w:val="0"/>
          <w:numId w:val="2"/>
        </w:numPr>
        <w:spacing w:after="80"/>
      </w:pPr>
      <w:r>
        <w:t xml:space="preserve">Un catálogo de datos central permite que herramientas de BI, ciencia de datos e IA generativa consulten la misma fuente de verdad, sin duplicar información.</w:t>
      </w:r>
    </w:p>
    <w:p>
      <w:pPr>
        <w:pStyle w:val="ListParagraph"/>
        <w:numPr>
          <w:ilvl w:val="0"/>
          <w:numId w:val="2"/>
        </w:numPr>
        <w:spacing w:after="80"/>
      </w:pPr>
      <w:r>
        <w:t xml:space="preserve">Sobre esa capa de consumo se conectan: reportes y dashboards (reemplazando el proceso manual en Excel), modelos de predicción, y un asistente conversacional interno.</w:t>
      </w:r>
    </w:p>
    <w:p>
      <w:pPr>
        <w:pStyle w:val="Heading1"/>
        <w:spacing w:after="160" w:before="360"/>
      </w:pPr>
      <w:r>
        <w:t xml:space="preserve">7. Plan de acción inmediato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00"/>
            <w:shd w:fill="1D6F56" w:val="clear"/>
            <w:tcMar>
              <w:top w:type="dxa" w:w="100"/>
              <w:left w:type="dxa" w:w="120"/>
              <w:bottom w:type="dxa" w:w="100"/>
              <w:right w:type="dxa" w:w="120"/>
            </w:tcMar>
          </w:tcPr>
          <w:p>
            <w:r>
              <w:rPr>
                <w:b/>
                <w:bCs/>
                <w:color w:val="FFFFFF"/>
                <w:sz w:val="20"/>
                <w:szCs w:val="20"/>
              </w:rPr>
              <w:t xml:space="preserve">#</w:t>
            </w:r>
          </w:p>
        </w:tc>
        <w:tc>
          <w:tcPr>
            <w:tcW w:type="dxa" w:w="5400"/>
            <w:shd w:fill="1D6F56" w:val="clear"/>
            <w:tcMar>
              <w:top w:type="dxa" w:w="100"/>
              <w:left w:type="dxa" w:w="120"/>
              <w:bottom w:type="dxa" w:w="100"/>
              <w:right w:type="dxa" w:w="120"/>
            </w:tcMar>
          </w:tcPr>
          <w:p>
            <w:r>
              <w:rPr>
                <w:b/>
                <w:bCs/>
                <w:color w:val="FFFFFF"/>
                <w:sz w:val="20"/>
                <w:szCs w:val="20"/>
              </w:rPr>
              <w:t xml:space="preserve">Acción</w:t>
            </w:r>
          </w:p>
        </w:tc>
        <w:tc>
          <w:tcPr>
            <w:tcW w:type="dxa" w:w="3000"/>
            <w:shd w:fill="1D6F56" w:val="clear"/>
            <w:tcMar>
              <w:top w:type="dxa" w:w="100"/>
              <w:left w:type="dxa" w:w="120"/>
              <w:bottom w:type="dxa" w:w="100"/>
              <w:right w:type="dxa" w:w="120"/>
            </w:tcMar>
          </w:tcPr>
          <w:p>
            <w:r>
              <w:rPr>
                <w:b/>
                <w:bCs/>
                <w:color w:val="FFFFFF"/>
                <w:sz w:val="20"/>
                <w:szCs w:val="20"/>
              </w:rPr>
              <w:t xml:space="preserve">Responsable sugerido</w:t>
            </w:r>
          </w:p>
        </w:tc>
      </w:tr>
      <w:tr>
        <w:tc>
          <w:tcPr>
            <w:tcW w:type="dxa" w:w="700"/>
            <w:shd w:fill="F1EFE8" w:val="clear"/>
            <w:tcMar>
              <w:top w:type="dxa" w:w="100"/>
              <w:left w:type="dxa" w:w="120"/>
              <w:bottom w:type="dxa" w:w="100"/>
              <w:right w:type="dxa" w:w="120"/>
            </w:tcMar>
          </w:tcPr>
          <w:p>
            <w:r>
              <w:rPr>
                <w:b w:val="false"/>
                <w:bCs w:val="false"/>
                <w:sz w:val="20"/>
                <w:szCs w:val="20"/>
              </w:rPr>
              <w:t xml:space="preserve">1</w:t>
            </w:r>
          </w:p>
        </w:tc>
        <w:tc>
          <w:tcPr>
            <w:tcW w:type="dxa" w:w="5400"/>
            <w:shd w:fill="F1EFE8" w:val="clear"/>
            <w:tcMar>
              <w:top w:type="dxa" w:w="100"/>
              <w:left w:type="dxa" w:w="120"/>
              <w:bottom w:type="dxa" w:w="100"/>
              <w:right w:type="dxa" w:w="120"/>
            </w:tcMar>
          </w:tcPr>
          <w:p>
            <w:r>
              <w:rPr>
                <w:b w:val="false"/>
                <w:bCs w:val="false"/>
                <w:sz w:val="20"/>
                <w:szCs w:val="20"/>
              </w:rPr>
              <w:t xml:space="preserve">Migrar la API de extracción actual de la cuenta personal a la cuenta empresarial de Azure</w:t>
            </w:r>
          </w:p>
        </w:tc>
        <w:tc>
          <w:tcPr>
            <w:tcW w:type="dxa" w:w="3000"/>
            <w:shd w:fill="F1EFE8" w:val="clear"/>
            <w:tcMar>
              <w:top w:type="dxa" w:w="100"/>
              <w:left w:type="dxa" w:w="120"/>
              <w:bottom w:type="dxa" w:w="100"/>
              <w:right w:type="dxa" w:w="120"/>
            </w:tcMar>
          </w:tcPr>
          <w:p>
            <w:r>
              <w:rPr>
                <w:b w:val="false"/>
                <w:bCs w:val="false"/>
                <w:sz w:val="20"/>
                <w:szCs w:val="20"/>
              </w:rPr>
              <w:t xml:space="preserve">Tú, con apoyo de TI</w:t>
            </w:r>
          </w:p>
        </w:tc>
      </w:tr>
      <w:tr>
        <w:tc>
          <w:tcPr>
            <w:tcW w:type="dxa" w:w="700"/>
            <w:tcMar>
              <w:top w:type="dxa" w:w="100"/>
              <w:left w:type="dxa" w:w="120"/>
              <w:bottom w:type="dxa" w:w="100"/>
              <w:right w:type="dxa" w:w="120"/>
            </w:tcMar>
          </w:tcPr>
          <w:p>
            <w:r>
              <w:rPr>
                <w:b w:val="false"/>
                <w:bCs w:val="false"/>
                <w:sz w:val="20"/>
                <w:szCs w:val="20"/>
              </w:rPr>
              <w:t xml:space="preserve">2</w:t>
            </w:r>
          </w:p>
        </w:tc>
        <w:tc>
          <w:tcPr>
            <w:tcW w:type="dxa" w:w="5400"/>
            <w:tcMar>
              <w:top w:type="dxa" w:w="100"/>
              <w:left w:type="dxa" w:w="120"/>
              <w:bottom w:type="dxa" w:w="100"/>
              <w:right w:type="dxa" w:w="120"/>
            </w:tcMar>
          </w:tcPr>
          <w:p>
            <w:r>
              <w:rPr>
                <w:b w:val="false"/>
                <w:bCs w:val="false"/>
                <w:sz w:val="20"/>
                <w:szCs w:val="20"/>
              </w:rPr>
              <w:t xml:space="preserve">Solicitar a TI el costo mensual actual desglosado de la suscripción empresarial de Azure</w:t>
            </w:r>
          </w:p>
        </w:tc>
        <w:tc>
          <w:tcPr>
            <w:tcW w:type="dxa" w:w="3000"/>
            <w:tcMar>
              <w:top w:type="dxa" w:w="100"/>
              <w:left w:type="dxa" w:w="120"/>
              <w:bottom w:type="dxa" w:w="100"/>
              <w:right w:type="dxa" w:w="120"/>
            </w:tcMar>
          </w:tcPr>
          <w:p>
            <w:r>
              <w:rPr>
                <w:b w:val="false"/>
                <w:bCs w:val="false"/>
                <w:sz w:val="20"/>
                <w:szCs w:val="20"/>
              </w:rPr>
              <w:t xml:space="preserve">TI / Administración de la cuenta</w:t>
            </w:r>
          </w:p>
        </w:tc>
      </w:tr>
      <w:tr>
        <w:tc>
          <w:tcPr>
            <w:tcW w:type="dxa" w:w="700"/>
            <w:shd w:fill="F1EFE8" w:val="clear"/>
            <w:tcMar>
              <w:top w:type="dxa" w:w="100"/>
              <w:left w:type="dxa" w:w="120"/>
              <w:bottom w:type="dxa" w:w="100"/>
              <w:right w:type="dxa" w:w="120"/>
            </w:tcMar>
          </w:tcPr>
          <w:p>
            <w:r>
              <w:rPr>
                <w:b w:val="false"/>
                <w:bCs w:val="false"/>
                <w:sz w:val="20"/>
                <w:szCs w:val="20"/>
              </w:rPr>
              <w:t xml:space="preserve">3</w:t>
            </w:r>
          </w:p>
        </w:tc>
        <w:tc>
          <w:tcPr>
            <w:tcW w:type="dxa" w:w="5400"/>
            <w:shd w:fill="F1EFE8" w:val="clear"/>
            <w:tcMar>
              <w:top w:type="dxa" w:w="100"/>
              <w:left w:type="dxa" w:w="120"/>
              <w:bottom w:type="dxa" w:w="100"/>
              <w:right w:type="dxa" w:w="120"/>
            </w:tcMar>
          </w:tcPr>
          <w:p>
            <w:r>
              <w:rPr>
                <w:b w:val="false"/>
                <w:bCs w:val="false"/>
                <w:sz w:val="20"/>
                <w:szCs w:val="20"/>
              </w:rPr>
              <w:t xml:space="preserve">Solicitar inventario de recursos existentes en la cuenta empresarial (VMs, bases de datos, servicios)</w:t>
            </w:r>
          </w:p>
        </w:tc>
        <w:tc>
          <w:tcPr>
            <w:tcW w:type="dxa" w:w="3000"/>
            <w:shd w:fill="F1EFE8" w:val="clear"/>
            <w:tcMar>
              <w:top w:type="dxa" w:w="100"/>
              <w:left w:type="dxa" w:w="120"/>
              <w:bottom w:type="dxa" w:w="100"/>
              <w:right w:type="dxa" w:w="120"/>
            </w:tcMar>
          </w:tcPr>
          <w:p>
            <w:r>
              <w:rPr>
                <w:b w:val="false"/>
                <w:bCs w:val="false"/>
                <w:sz w:val="20"/>
                <w:szCs w:val="20"/>
              </w:rPr>
              <w:t xml:space="preserve">TI</w:t>
            </w:r>
          </w:p>
        </w:tc>
      </w:tr>
      <w:tr>
        <w:tc>
          <w:tcPr>
            <w:tcW w:type="dxa" w:w="700"/>
            <w:tcMar>
              <w:top w:type="dxa" w:w="100"/>
              <w:left w:type="dxa" w:w="120"/>
              <w:bottom w:type="dxa" w:w="100"/>
              <w:right w:type="dxa" w:w="120"/>
            </w:tcMar>
          </w:tcPr>
          <w:p>
            <w:r>
              <w:rPr>
                <w:b w:val="false"/>
                <w:bCs w:val="false"/>
                <w:sz w:val="20"/>
                <w:szCs w:val="20"/>
              </w:rPr>
              <w:t xml:space="preserve">4</w:t>
            </w:r>
          </w:p>
        </w:tc>
        <w:tc>
          <w:tcPr>
            <w:tcW w:type="dxa" w:w="5400"/>
            <w:tcMar>
              <w:top w:type="dxa" w:w="100"/>
              <w:left w:type="dxa" w:w="120"/>
              <w:bottom w:type="dxa" w:w="100"/>
              <w:right w:type="dxa" w:w="120"/>
            </w:tcMar>
          </w:tcPr>
          <w:p>
            <w:r>
              <w:rPr>
                <w:b w:val="false"/>
                <w:bCs w:val="false"/>
                <w:sz w:val="20"/>
                <w:szCs w:val="20"/>
              </w:rPr>
              <w:t xml:space="preserve">Confirmar con el jefe directo el mapa de reportes actuales y las reglas de negocio detrás de cada uno</w:t>
            </w:r>
          </w:p>
        </w:tc>
        <w:tc>
          <w:tcPr>
            <w:tcW w:type="dxa" w:w="3000"/>
            <w:tcMar>
              <w:top w:type="dxa" w:w="100"/>
              <w:left w:type="dxa" w:w="120"/>
              <w:bottom w:type="dxa" w:w="100"/>
              <w:right w:type="dxa" w:w="120"/>
            </w:tcMar>
          </w:tcPr>
          <w:p>
            <w:r>
              <w:rPr>
                <w:b w:val="false"/>
                <w:bCs w:val="false"/>
                <w:sz w:val="20"/>
                <w:szCs w:val="20"/>
              </w:rPr>
              <w:t xml:space="preserve">Jefe directo</w:t>
            </w:r>
          </w:p>
        </w:tc>
      </w:tr>
      <w:tr>
        <w:tc>
          <w:tcPr>
            <w:tcW w:type="dxa" w:w="700"/>
            <w:shd w:fill="F1EFE8" w:val="clear"/>
            <w:tcMar>
              <w:top w:type="dxa" w:w="100"/>
              <w:left w:type="dxa" w:w="120"/>
              <w:bottom w:type="dxa" w:w="100"/>
              <w:right w:type="dxa" w:w="120"/>
            </w:tcMar>
          </w:tcPr>
          <w:p>
            <w:r>
              <w:rPr>
                <w:b w:val="false"/>
                <w:bCs w:val="false"/>
                <w:sz w:val="20"/>
                <w:szCs w:val="20"/>
              </w:rPr>
              <w:t xml:space="preserve">5</w:t>
            </w:r>
          </w:p>
        </w:tc>
        <w:tc>
          <w:tcPr>
            <w:tcW w:type="dxa" w:w="5400"/>
            <w:shd w:fill="F1EFE8" w:val="clear"/>
            <w:tcMar>
              <w:top w:type="dxa" w:w="100"/>
              <w:left w:type="dxa" w:w="120"/>
              <w:bottom w:type="dxa" w:w="100"/>
              <w:right w:type="dxa" w:w="120"/>
            </w:tcMar>
          </w:tcPr>
          <w:p>
            <w:r>
              <w:rPr>
                <w:b w:val="false"/>
                <w:bCs w:val="false"/>
                <w:sz w:val="20"/>
                <w:szCs w:val="20"/>
              </w:rPr>
              <w:t xml:space="preserve">Definir responsables funcionales y técnicos de cada una de las seis fuentes de datos</w:t>
            </w:r>
          </w:p>
        </w:tc>
        <w:tc>
          <w:tcPr>
            <w:tcW w:type="dxa" w:w="3000"/>
            <w:shd w:fill="F1EFE8" w:val="clear"/>
            <w:tcMar>
              <w:top w:type="dxa" w:w="100"/>
              <w:left w:type="dxa" w:w="120"/>
              <w:bottom w:type="dxa" w:w="100"/>
              <w:right w:type="dxa" w:w="120"/>
            </w:tcMar>
          </w:tcPr>
          <w:p>
            <w:r>
              <w:rPr>
                <w:b w:val="false"/>
                <w:bCs w:val="false"/>
                <w:sz w:val="20"/>
                <w:szCs w:val="20"/>
              </w:rPr>
              <w:t xml:space="preserve">Jefe directo / TI</w:t>
            </w:r>
          </w:p>
        </w:tc>
      </w:tr>
      <w:tr>
        <w:tc>
          <w:tcPr>
            <w:tcW w:type="dxa" w:w="700"/>
            <w:tcMar>
              <w:top w:type="dxa" w:w="100"/>
              <w:left w:type="dxa" w:w="120"/>
              <w:bottom w:type="dxa" w:w="100"/>
              <w:right w:type="dxa" w:w="120"/>
            </w:tcMar>
          </w:tcPr>
          <w:p>
            <w:r>
              <w:rPr>
                <w:b w:val="false"/>
                <w:bCs w:val="false"/>
                <w:sz w:val="20"/>
                <w:szCs w:val="20"/>
              </w:rPr>
              <w:t xml:space="preserve">6</w:t>
            </w:r>
          </w:p>
        </w:tc>
        <w:tc>
          <w:tcPr>
            <w:tcW w:type="dxa" w:w="5400"/>
            <w:tcMar>
              <w:top w:type="dxa" w:w="100"/>
              <w:left w:type="dxa" w:w="120"/>
              <w:bottom w:type="dxa" w:w="100"/>
              <w:right w:type="dxa" w:w="120"/>
            </w:tcMar>
          </w:tcPr>
          <w:p>
            <w:r>
              <w:rPr>
                <w:b w:val="false"/>
                <w:bCs w:val="false"/>
                <w:sz w:val="20"/>
                <w:szCs w:val="20"/>
              </w:rPr>
              <w:t xml:space="preserve">Validar conectividad de red disponible hacia ERP, Hostgate y Supabase (accesos actualmente cerrados)</w:t>
            </w:r>
          </w:p>
        </w:tc>
        <w:tc>
          <w:tcPr>
            <w:tcW w:type="dxa" w:w="3000"/>
            <w:tcMar>
              <w:top w:type="dxa" w:w="100"/>
              <w:left w:type="dxa" w:w="120"/>
              <w:bottom w:type="dxa" w:w="100"/>
              <w:right w:type="dxa" w:w="120"/>
            </w:tcMar>
          </w:tcPr>
          <w:p>
            <w:r>
              <w:rPr>
                <w:b w:val="false"/>
                <w:bCs w:val="false"/>
                <w:sz w:val="20"/>
                <w:szCs w:val="20"/>
              </w:rPr>
              <w:t xml:space="preserve">TI</w:t>
            </w:r>
          </w:p>
        </w:tc>
      </w:tr>
      <w:tr>
        <w:tc>
          <w:tcPr>
            <w:tcW w:type="dxa" w:w="700"/>
            <w:shd w:fill="F1EFE8" w:val="clear"/>
            <w:tcMar>
              <w:top w:type="dxa" w:w="100"/>
              <w:left w:type="dxa" w:w="120"/>
              <w:bottom w:type="dxa" w:w="100"/>
              <w:right w:type="dxa" w:w="120"/>
            </w:tcMar>
          </w:tcPr>
          <w:p>
            <w:r>
              <w:rPr>
                <w:b w:val="false"/>
                <w:bCs w:val="false"/>
                <w:sz w:val="20"/>
                <w:szCs w:val="20"/>
              </w:rPr>
              <w:t xml:space="preserve">7</w:t>
            </w:r>
          </w:p>
        </w:tc>
        <w:tc>
          <w:tcPr>
            <w:tcW w:type="dxa" w:w="5400"/>
            <w:shd w:fill="F1EFE8" w:val="clear"/>
            <w:tcMar>
              <w:top w:type="dxa" w:w="100"/>
              <w:left w:type="dxa" w:w="120"/>
              <w:bottom w:type="dxa" w:w="100"/>
              <w:right w:type="dxa" w:w="120"/>
            </w:tcMar>
          </w:tcPr>
          <w:p>
            <w:r>
              <w:rPr>
                <w:b w:val="false"/>
                <w:bCs w:val="false"/>
                <w:sz w:val="20"/>
                <w:szCs w:val="20"/>
              </w:rPr>
              <w:t xml:space="preserve">Con base en el costo real y la validación anterior, confirmar la elección definitiva de plataforma (Azure vs. AWS)</w:t>
            </w:r>
          </w:p>
        </w:tc>
        <w:tc>
          <w:tcPr>
            <w:tcW w:type="dxa" w:w="3000"/>
            <w:shd w:fill="F1EFE8" w:val="clear"/>
            <w:tcMar>
              <w:top w:type="dxa" w:w="100"/>
              <w:left w:type="dxa" w:w="120"/>
              <w:bottom w:type="dxa" w:w="100"/>
              <w:right w:type="dxa" w:w="120"/>
            </w:tcMar>
          </w:tcPr>
          <w:p>
            <w:r>
              <w:rPr>
                <w:b w:val="false"/>
                <w:bCs w:val="false"/>
                <w:sz w:val="20"/>
                <w:szCs w:val="20"/>
              </w:rPr>
              <w:t xml:space="preserve">Jefe directo (decisión de negocio)</w:t>
            </w:r>
          </w:p>
        </w:tc>
      </w:tr>
    </w:tbl>
    <w:p>
      <w:pPr>
        <w:spacing w:after="160"/>
      </w:pPr>
      <w:r>
        <w:t xml:space="preserve"/>
      </w:r>
    </w:p>
    <w:p>
      <w:pPr>
        <w:spacing w:after="160"/>
      </w:pPr>
      <w:r>
        <w:rPr>
          <w:i/>
          <w:iCs/>
        </w:rPr>
        <w:t xml:space="preserve">Este documento resume el análisis realizado hasta la fecha y está preparado para servir de base a la conversación con el jefe directo y el equipo de TI.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2026-09-09T22:26:02.920Z</dcterms:created>
  <dcterms:modified xsi:type="dcterms:W3CDTF">2026-09-09T22:26:02.932Z</dcterms:modified>
</cp:coreProperties>
</file>

<file path=docProps/custom.xml><?xml version="1.0" encoding="utf-8"?>
<Properties xmlns="http://schemas.openxmlformats.org/officeDocument/2006/custom-properties" xmlns:vt="http://schemas.openxmlformats.org/officeDocument/2006/docPropsVTypes"/>
</file>