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2937"/>
          <w:sz w:val="56"/>
          <w:szCs w:val="56"/>
        </w:rPr>
        <w:t xml:space="preserve">Dashboard de Operaciones</w:t>
      </w:r>
    </w:p>
    <w:p>
      <w:pPr>
        <w:spacing w:after="100"/>
        <w:jc w:val="center"/>
      </w:pPr>
      <w:r>
        <w:rPr>
          <w:b/>
          <w:bCs/>
          <w:color w:val="2563EB"/>
          <w:sz w:val="32"/>
          <w:szCs w:val="32"/>
        </w:rPr>
        <w:t xml:space="preserve">Documento de Hallazgos y Mapa de Lógica</w:t>
      </w:r>
    </w:p>
    <w:p>
      <w:pPr>
        <w:spacing w:after="600"/>
        <w:jc w:val="center"/>
      </w:pPr>
      <w:r>
        <w:rPr>
          <w:i/>
          <w:iCs/>
          <w:color w:val="6B7280"/>
          <w:sz w:val="22"/>
          <w:szCs w:val="22"/>
        </w:rPr>
        <w:t xml:space="preserve">Análisis de replicación del reporte Power BI “DashBoard_Operaciones.pbix”</w:t>
      </w:r>
    </w:p>
    <w:p>
      <w:pPr>
        <w:spacing w:after="40"/>
        <w:jc w:val="center"/>
      </w:pPr>
      <w:r>
        <w:rPr>
          <w:color w:val="6B7280"/>
          <w:sz w:val="20"/>
          <w:szCs w:val="20"/>
        </w:rPr>
        <w:t xml:space="preserve">Preparado como base de trabajo interno</w:t>
      </w:r>
    </w:p>
    <w:p>
      <w:pPr>
        <w:jc w:val="center"/>
      </w:pPr>
      <w:r>
        <w:rPr>
          <w:color w:val="6B7280"/>
          <w:sz w:val="20"/>
          <w:szCs w:val="20"/>
        </w:rPr>
        <w:t xml:space="preserve">Metodología: análisis del archivo de reporte + validación cruzada con exports de datos reales</w:t>
      </w:r>
    </w:p>
    <w:p>
      <w:r>
        <w:br w:type="page"/>
      </w:r>
    </w:p>
    <w:p>
      <w:pPr>
        <w:pStyle w:val="Heading1"/>
        <w:spacing w:after="200" w:before="400"/>
      </w:pPr>
      <w:r>
        <w:t xml:space="preserve">Contenido</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Resumen ejecutivo</w:t>
      </w:r>
    </w:p>
    <w:p>
      <w:pPr>
        <w:spacing w:after="150"/>
      </w:pPr>
      <w:r>
        <w:t xml:space="preserve">Este documento reconstruye, con evidencia verificable, la lógica de negocio detrás del dashboard de Operaciones que corre sobre Power BI. El objetivo fue entender cómo está armado (páginas, tablas, campos y reglas) para poder actualizarlo con confianza, sin tener acceso directo al modelo semántico (DAX / Power Query) del dataset.</w:t>
      </w:r>
    </w:p>
    <w:p>
      <w:pPr>
        <w:spacing w:after="150"/>
      </w:pPr>
      <w:r>
        <w:t xml:space="preserve">El reporte (.pbix) resultó ser un reporte con conexión en vivo a un dataset publicado en el servicio de Power BI: el archivo entregado contiene las páginas y visuales, pero no las fórmulas DAX ni las transformaciones Power Query, que viven del lado del dataset remoto, al cual no se obtuvo acceso. Ante esto, la estrategia utilizada fue de reconstrucción por evidencia: se mapeó la estructura del reporte directamente del archivo, y se validaron las reglas de negocio cruzando capturas de pantalla del dashboard contra exports reales de las tablas fuente de Business Central.</w:t>
      </w:r>
    </w:p>
    <w:p>
      <w:pPr>
        <w:spacing w:after="150"/>
      </w:pPr>
      <w:r>
        <w:rPr>
          <w:b/>
          <w:bCs/>
          <w:color w:val="1F2937"/>
        </w:rPr>
        <w:t xml:space="preserve">Resultado: </w:t>
      </w:r>
      <w:r>
        <w:t xml:space="preserve">de 6 piezas de lógica investigadas, </w:t>
      </w:r>
      <w:r>
        <w:rPr>
          <w:b/>
          <w:bCs/>
          <w:color w:val="15803D"/>
        </w:rPr>
        <w:t xml:space="preserve">5 quedaron confirmadas con datos</w:t>
      </w:r>
      <w:r>
        <w:t xml:space="preserve">, y 1 quedó </w:t>
      </w:r>
      <w:r>
        <w:rPr>
          <w:b/>
          <w:bCs/>
          <w:color w:val="B91C1C"/>
        </w:rPr>
        <w:t xml:space="preserve">bloqueada</w:t>
      </w:r>
      <w:r>
        <w:t xml:space="preserve"> por falta de acceso al sistema fuente. Además, se detectaron </w:t>
      </w:r>
      <w:r>
        <w:rPr>
          <w:b/>
          <w:bCs/>
          <w:color w:val="B91C1C"/>
        </w:rPr>
        <w:t xml:space="preserve">2 bugs existentes</w:t>
      </w:r>
      <w:r>
        <w:t xml:space="preserve"> en el dashboard actual que conviene reportar antes de agregar funcionalidad nueva.</w:t>
      </w:r>
    </w:p>
    <w:p>
      <w:pPr>
        <w:pStyle w:val="Heading2"/>
        <w:spacing w:after="150" w:before="300"/>
      </w:pPr>
      <w:r>
        <w:t xml:space="preserve">1.1 Tabla resumen de estado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3000"/>
      </w:tblGrid>
      <w:tr>
        <w:trPr>
          <w:tblHeader/>
        </w:trPr>
        <w:tc>
          <w:tcPr>
            <w:tcW w:type="dxa" w:w="4600"/>
            <w:shd w:fill="1F2937" w:val="clear"/>
          </w:tcPr>
          <w:p>
            <w:pPr>
              <w:jc w:val="left"/>
            </w:pPr>
            <w:r>
              <w:rPr>
                <w:b/>
                <w:bCs/>
                <w:color w:val="FFFFFF"/>
                <w:sz w:val="20"/>
                <w:szCs w:val="20"/>
              </w:rPr>
              <w:t xml:space="preserve">Pieza de lógica</w:t>
            </w:r>
          </w:p>
        </w:tc>
        <w:tc>
          <w:tcPr>
            <w:tcW w:type="dxa" w:w="1800"/>
            <w:shd w:fill="1F2937" w:val="clear"/>
          </w:tcPr>
          <w:p>
            <w:pPr>
              <w:jc w:val="left"/>
            </w:pPr>
            <w:r>
              <w:rPr>
                <w:b/>
                <w:bCs/>
                <w:color w:val="FFFFFF"/>
                <w:sz w:val="20"/>
                <w:szCs w:val="20"/>
              </w:rPr>
              <w:t xml:space="preserve">Estado</w:t>
            </w:r>
          </w:p>
        </w:tc>
        <w:tc>
          <w:tcPr>
            <w:tcW w:type="dxa" w:w="3000"/>
            <w:shd w:fill="1F2937" w:val="clear"/>
          </w:tcPr>
          <w:p>
            <w:pPr>
              <w:jc w:val="left"/>
            </w:pPr>
            <w:r>
              <w:rPr>
                <w:b/>
                <w:bCs/>
                <w:color w:val="FFFFFF"/>
                <w:sz w:val="20"/>
                <w:szCs w:val="20"/>
              </w:rPr>
              <w:t xml:space="preserve">Evidencia</w:t>
            </w:r>
          </w:p>
        </w:tc>
      </w:tr>
      <w:tr>
        <w:tc>
          <w:tcPr>
            <w:tcW w:type="dxa" w:w="4600"/>
            <w:shd w:fill="FFFFFF" w:val="clear"/>
          </w:tcPr>
          <w:p>
            <w:pPr>
              <w:jc w:val="left"/>
            </w:pPr>
            <w:r>
              <w:rPr>
                <w:b w:val="false"/>
                <w:bCs w:val="false"/>
                <w:sz w:val="20"/>
                <w:szCs w:val="20"/>
              </w:rPr>
              <w:t xml:space="preserve">Status Ped vs. Status Onest</w:t>
            </w:r>
          </w:p>
        </w:tc>
        <w:tc>
          <w:tcPr>
            <w:tcW w:type="dxa" w:w="1800"/>
            <w:shd w:fill="FFFFFF" w:val="clear"/>
          </w:tcPr>
          <w:p>
            <w:pPr>
              <w:jc w:val="left"/>
            </w:pPr>
            <w:r>
              <w:rPr>
                <w:b w:val="false"/>
                <w:bCs w:val="false"/>
                <w:sz w:val="20"/>
                <w:szCs w:val="20"/>
              </w:rPr>
              <w:t xml:space="preserve">Confirmado</w:t>
            </w:r>
          </w:p>
        </w:tc>
        <w:tc>
          <w:tcPr>
            <w:tcW w:type="dxa" w:w="3000"/>
            <w:shd w:fill="FFFFFF" w:val="clear"/>
          </w:tcPr>
          <w:p>
            <w:pPr>
              <w:jc w:val="left"/>
            </w:pPr>
            <w:r>
              <w:rPr>
                <w:b w:val="false"/>
                <w:bCs w:val="false"/>
                <w:sz w:val="20"/>
                <w:szCs w:val="20"/>
              </w:rPr>
              <w:t xml:space="preserve">Explicación directa del negocio</w:t>
            </w:r>
          </w:p>
        </w:tc>
      </w:tr>
      <w:tr>
        <w:tc>
          <w:tcPr>
            <w:tcW w:type="dxa" w:w="4600"/>
            <w:shd w:fill="F3F4F6" w:val="clear"/>
          </w:tcPr>
          <w:p>
            <w:pPr>
              <w:jc w:val="left"/>
            </w:pPr>
            <w:r>
              <w:rPr>
                <w:b w:val="false"/>
                <w:bCs w:val="false"/>
                <w:sz w:val="20"/>
                <w:szCs w:val="20"/>
              </w:rPr>
              <w:t xml:space="preserve">ID_Sts (semáforo On Time / Warining / Delay)</w:t>
            </w:r>
          </w:p>
        </w:tc>
        <w:tc>
          <w:tcPr>
            <w:tcW w:type="dxa" w:w="1800"/>
            <w:shd w:fill="F3F4F6" w:val="clear"/>
          </w:tcPr>
          <w:p>
            <w:pPr>
              <w:jc w:val="left"/>
            </w:pPr>
            <w:r>
              <w:rPr>
                <w:b w:val="false"/>
                <w:bCs w:val="false"/>
                <w:sz w:val="20"/>
                <w:szCs w:val="20"/>
              </w:rPr>
              <w:t xml:space="preserve">Confirmado</w:t>
            </w:r>
          </w:p>
        </w:tc>
        <w:tc>
          <w:tcPr>
            <w:tcW w:type="dxa" w:w="3000"/>
            <w:shd w:fill="F3F4F6" w:val="clear"/>
          </w:tcPr>
          <w:p>
            <w:pPr>
              <w:jc w:val="left"/>
            </w:pPr>
            <w:r>
              <w:rPr>
                <w:b w:val="false"/>
                <w:bCs w:val="false"/>
                <w:sz w:val="20"/>
                <w:szCs w:val="20"/>
              </w:rPr>
              <w:t xml:space="preserve">Validado con 282 registros reales</w:t>
            </w:r>
          </w:p>
        </w:tc>
      </w:tr>
      <w:tr>
        <w:tc>
          <w:tcPr>
            <w:tcW w:type="dxa" w:w="4600"/>
            <w:shd w:fill="FFFFFF" w:val="clear"/>
          </w:tcPr>
          <w:p>
            <w:pPr>
              <w:jc w:val="left"/>
            </w:pPr>
            <w:r>
              <w:rPr>
                <w:b w:val="false"/>
                <w:bCs w:val="false"/>
                <w:sz w:val="20"/>
                <w:szCs w:val="20"/>
              </w:rPr>
              <w:t xml:space="preserve">Dias_Surtido (fórmula de tiempo)</w:t>
            </w:r>
          </w:p>
        </w:tc>
        <w:tc>
          <w:tcPr>
            <w:tcW w:type="dxa" w:w="1800"/>
            <w:shd w:fill="FFFFFF" w:val="clear"/>
          </w:tcPr>
          <w:p>
            <w:pPr>
              <w:jc w:val="left"/>
            </w:pPr>
            <w:r>
              <w:rPr>
                <w:b w:val="false"/>
                <w:bCs w:val="false"/>
                <w:sz w:val="20"/>
                <w:szCs w:val="20"/>
              </w:rPr>
              <w:t xml:space="preserve">Confirmado</w:t>
            </w:r>
          </w:p>
        </w:tc>
        <w:tc>
          <w:tcPr>
            <w:tcW w:type="dxa" w:w="3000"/>
            <w:shd w:fill="FFFFFF" w:val="clear"/>
          </w:tcPr>
          <w:p>
            <w:pPr>
              <w:jc w:val="left"/>
            </w:pPr>
            <w:r>
              <w:rPr>
                <w:b w:val="false"/>
                <w:bCs w:val="false"/>
                <w:sz w:val="20"/>
                <w:szCs w:val="20"/>
              </w:rPr>
              <w:t xml:space="preserve">Validado con 34 pedidos con las 3 marcas de tiempo</w:t>
            </w:r>
          </w:p>
        </w:tc>
      </w:tr>
      <w:tr>
        <w:tc>
          <w:tcPr>
            <w:tcW w:type="dxa" w:w="4600"/>
            <w:shd w:fill="F3F4F6" w:val="clear"/>
          </w:tcPr>
          <w:p>
            <w:pPr>
              <w:jc w:val="left"/>
            </w:pPr>
            <w:r>
              <w:rPr>
                <w:b w:val="false"/>
                <w:bCs w:val="false"/>
                <w:sz w:val="20"/>
                <w:szCs w:val="20"/>
              </w:rPr>
              <w:t xml:space="preserve">No_Series (canales de venta)</w:t>
            </w:r>
          </w:p>
        </w:tc>
        <w:tc>
          <w:tcPr>
            <w:tcW w:type="dxa" w:w="1800"/>
            <w:shd w:fill="F3F4F6" w:val="clear"/>
          </w:tcPr>
          <w:p>
            <w:pPr>
              <w:jc w:val="left"/>
            </w:pPr>
            <w:r>
              <w:rPr>
                <w:b w:val="false"/>
                <w:bCs w:val="false"/>
                <w:sz w:val="20"/>
                <w:szCs w:val="20"/>
              </w:rPr>
              <w:t xml:space="preserve">Confirmado</w:t>
            </w:r>
          </w:p>
        </w:tc>
        <w:tc>
          <w:tcPr>
            <w:tcW w:type="dxa" w:w="3000"/>
            <w:shd w:fill="F3F4F6" w:val="clear"/>
          </w:tcPr>
          <w:p>
            <w:pPr>
              <w:jc w:val="left"/>
            </w:pPr>
            <w:r>
              <w:rPr>
                <w:b w:val="false"/>
                <w:bCs w:val="false"/>
                <w:sz w:val="20"/>
                <w:szCs w:val="20"/>
              </w:rPr>
              <w:t xml:space="preserve">Explicación directa del negocio</w:t>
            </w:r>
          </w:p>
        </w:tc>
      </w:tr>
      <w:tr>
        <w:tc>
          <w:tcPr>
            <w:tcW w:type="dxa" w:w="4600"/>
            <w:shd w:fill="FFFFFF" w:val="clear"/>
          </w:tcPr>
          <w:p>
            <w:pPr>
              <w:jc w:val="left"/>
            </w:pPr>
            <w:r>
              <w:rPr>
                <w:b w:val="false"/>
                <w:bCs w:val="false"/>
                <w:sz w:val="20"/>
                <w:szCs w:val="20"/>
              </w:rPr>
              <w:t xml:space="preserve">Interface entries (mecanismo de -1 / errores)</w:t>
            </w:r>
          </w:p>
        </w:tc>
        <w:tc>
          <w:tcPr>
            <w:tcW w:type="dxa" w:w="1800"/>
            <w:shd w:fill="FFFFFF" w:val="clear"/>
          </w:tcPr>
          <w:p>
            <w:pPr>
              <w:jc w:val="left"/>
            </w:pPr>
            <w:r>
              <w:rPr>
                <w:b w:val="false"/>
                <w:bCs w:val="false"/>
                <w:sz w:val="20"/>
                <w:szCs w:val="20"/>
              </w:rPr>
              <w:t xml:space="preserve">Confirmado</w:t>
            </w:r>
          </w:p>
        </w:tc>
        <w:tc>
          <w:tcPr>
            <w:tcW w:type="dxa" w:w="3000"/>
            <w:shd w:fill="FFFFFF" w:val="clear"/>
          </w:tcPr>
          <w:p>
            <w:pPr>
              <w:jc w:val="left"/>
            </w:pPr>
            <w:r>
              <w:rPr>
                <w:b w:val="false"/>
                <w:bCs w:val="false"/>
                <w:sz w:val="20"/>
                <w:szCs w:val="20"/>
              </w:rPr>
              <w:t xml:space="preserve">Validado con 1,401 pedidos</w:t>
            </w:r>
          </w:p>
        </w:tc>
      </w:tr>
      <w:tr>
        <w:tc>
          <w:tcPr>
            <w:tcW w:type="dxa" w:w="4600"/>
            <w:shd w:fill="F3F4F6" w:val="clear"/>
          </w:tcPr>
          <w:p>
            <w:pPr>
              <w:jc w:val="left"/>
            </w:pPr>
            <w:r>
              <w:rPr>
                <w:b w:val="false"/>
                <w:bCs w:val="false"/>
                <w:sz w:val="20"/>
                <w:szCs w:val="20"/>
              </w:rPr>
              <w:t xml:space="preserve">Enviado (Completo / Incompleto)</w:t>
            </w:r>
          </w:p>
        </w:tc>
        <w:tc>
          <w:tcPr>
            <w:tcW w:type="dxa" w:w="1800"/>
            <w:shd w:fill="F3F4F6" w:val="clear"/>
          </w:tcPr>
          <w:p>
            <w:pPr>
              <w:jc w:val="left"/>
            </w:pPr>
            <w:r>
              <w:rPr>
                <w:b w:val="false"/>
                <w:bCs w:val="false"/>
                <w:sz w:val="20"/>
                <w:szCs w:val="20"/>
              </w:rPr>
              <w:t xml:space="preserve">Bloqueado</w:t>
            </w:r>
          </w:p>
        </w:tc>
        <w:tc>
          <w:tcPr>
            <w:tcW w:type="dxa" w:w="3000"/>
            <w:shd w:fill="F3F4F6" w:val="clear"/>
          </w:tcPr>
          <w:p>
            <w:pPr>
              <w:jc w:val="left"/>
            </w:pPr>
            <w:r>
              <w:rPr>
                <w:b w:val="false"/>
                <w:bCs w:val="false"/>
                <w:sz w:val="20"/>
                <w:szCs w:val="20"/>
              </w:rPr>
              <w:t xml:space="preserve">Sin campo identificable en datos disponibles</w:t>
            </w:r>
          </w:p>
        </w:tc>
      </w:tr>
      <w:tr>
        <w:tc>
          <w:tcPr>
            <w:tcW w:type="dxa" w:w="4600"/>
            <w:shd w:fill="FFFFFF" w:val="clear"/>
          </w:tcPr>
          <w:p>
            <w:pPr>
              <w:jc w:val="left"/>
            </w:pPr>
            <w:r>
              <w:rPr>
                <w:b w:val="false"/>
                <w:bCs w:val="false"/>
                <w:sz w:val="20"/>
                <w:szCs w:val="20"/>
              </w:rPr>
              <w:t xml:space="preserve">Bug: “Tiempo Total Histórico” usa tabla incorrecta</w:t>
            </w:r>
          </w:p>
        </w:tc>
        <w:tc>
          <w:tcPr>
            <w:tcW w:type="dxa" w:w="1800"/>
            <w:shd w:fill="FFFFFF" w:val="clear"/>
          </w:tcPr>
          <w:p>
            <w:pPr>
              <w:jc w:val="left"/>
            </w:pPr>
            <w:r>
              <w:rPr>
                <w:b w:val="false"/>
                <w:bCs w:val="false"/>
                <w:sz w:val="20"/>
                <w:szCs w:val="20"/>
              </w:rPr>
              <w:t xml:space="preserve">Confirmado</w:t>
            </w:r>
          </w:p>
        </w:tc>
        <w:tc>
          <w:tcPr>
            <w:tcW w:type="dxa" w:w="3000"/>
            <w:shd w:fill="FFFFFF" w:val="clear"/>
          </w:tcPr>
          <w:p>
            <w:pPr>
              <w:jc w:val="left"/>
            </w:pPr>
            <w:r>
              <w:rPr>
                <w:b w:val="false"/>
                <w:bCs w:val="false"/>
                <w:sz w:val="20"/>
                <w:szCs w:val="20"/>
              </w:rPr>
              <w:t xml:space="preserve">Señalado por el negocio</w:t>
            </w:r>
          </w:p>
        </w:tc>
      </w:tr>
      <w:tr>
        <w:tc>
          <w:tcPr>
            <w:tcW w:type="dxa" w:w="4600"/>
            <w:shd w:fill="F3F4F6" w:val="clear"/>
          </w:tcPr>
          <w:p>
            <w:pPr>
              <w:jc w:val="left"/>
            </w:pPr>
            <w:r>
              <w:rPr>
                <w:b w:val="false"/>
                <w:bCs w:val="false"/>
                <w:sz w:val="20"/>
                <w:szCs w:val="20"/>
              </w:rPr>
              <w:t xml:space="preserve">Bug: desfase de 6 horas entre logs</w:t>
            </w:r>
          </w:p>
        </w:tc>
        <w:tc>
          <w:tcPr>
            <w:tcW w:type="dxa" w:w="1800"/>
            <w:shd w:fill="F3F4F6" w:val="clear"/>
          </w:tcPr>
          <w:p>
            <w:pPr>
              <w:jc w:val="left"/>
            </w:pPr>
            <w:r>
              <w:rPr>
                <w:b w:val="false"/>
                <w:bCs w:val="false"/>
                <w:sz w:val="20"/>
                <w:szCs w:val="20"/>
              </w:rPr>
              <w:t xml:space="preserve">Confirmado</w:t>
            </w:r>
          </w:p>
        </w:tc>
        <w:tc>
          <w:tcPr>
            <w:tcW w:type="dxa" w:w="3000"/>
            <w:shd w:fill="F3F4F6" w:val="clear"/>
          </w:tcPr>
          <w:p>
            <w:pPr>
              <w:jc w:val="left"/>
            </w:pPr>
            <w:r>
              <w:rPr>
                <w:b w:val="false"/>
                <w:bCs w:val="false"/>
                <w:sz w:val="20"/>
                <w:szCs w:val="20"/>
              </w:rPr>
              <w:t xml:space="preserve">Detectado en cruce de datos (34/34 casos)</w:t>
            </w:r>
          </w:p>
        </w:tc>
      </w:tr>
    </w:tbl>
    <w:p>
      <w:r>
        <w:br w:type="page"/>
      </w:r>
    </w:p>
    <w:p>
      <w:pPr>
        <w:pStyle w:val="Heading1"/>
        <w:spacing w:after="200" w:before="400"/>
      </w:pPr>
      <w:r>
        <w:t xml:space="preserve">2. Mapa del dashboard</w:t>
      </w:r>
    </w:p>
    <w:p>
      <w:pPr>
        <w:spacing w:after="150"/>
      </w:pPr>
      <w:r>
        <w:t xml:space="preserve">El reporte tiene 6 páginas. A continuación, qué contiene cada una y de qué tablas se alimenta.</w:t>
      </w:r>
    </w:p>
    <w:p>
      <w:pPr>
        <w:pStyle w:val="Heading2"/>
        <w:spacing w:after="150" w:before="300"/>
      </w:pPr>
      <w:r>
        <w:t xml:space="preserve">2.1 Panel Principal</w:t>
      </w:r>
    </w:p>
    <w:p>
      <w:pPr>
        <w:spacing w:after="150"/>
      </w:pPr>
      <w:r>
        <w:t xml:space="preserve">Vista general del pipeline de pedidos. Combina dos clasificaciones de estatus en paralelo (ver sección 3.1) y agrupa por Gerente de Zona (canal / vendedor).</w:t>
      </w:r>
    </w:p>
    <w:p>
      <w:pPr>
        <w:pStyle w:val="ListParagraph"/>
        <w:numPr>
          <w:ilvl w:val="0"/>
          <w:numId w:val="2"/>
        </w:numPr>
        <w:spacing w:after="80"/>
      </w:pPr>
      <w:r>
        <w:t xml:space="preserve">Visuales: 1 tabla, 4 gráficas de columnas, 1 treemap, 6 segmentadores (slicers).</w:t>
      </w:r>
    </w:p>
    <w:p>
      <w:pPr>
        <w:pStyle w:val="ListParagraph"/>
        <w:numPr>
          <w:ilvl w:val="0"/>
          <w:numId w:val="2"/>
        </w:numPr>
        <w:spacing w:after="80"/>
      </w:pPr>
      <w:r>
        <w:t xml:space="preserve">Tablas usadas: Sales Header, Customer, Salesperson_Purchaser (Gerente Zona).</w:t>
      </w:r>
    </w:p>
    <w:p>
      <w:pPr>
        <w:pStyle w:val="Heading2"/>
        <w:spacing w:after="150" w:before="300"/>
      </w:pPr>
      <w:r>
        <w:t xml:space="preserve">2.2 Surtido</w:t>
      </w:r>
    </w:p>
    <w:p>
      <w:pPr>
        <w:spacing w:after="150"/>
      </w:pPr>
      <w:r>
        <w:t xml:space="preserve">Mismo pipeline que el Panel Principal pero a nivel de detalle: agrega Sales Line (piezas, monto) e Item (descripción de artículo). “Surtido” es el proceso de picking/preparación del pedido.</w:t>
      </w:r>
    </w:p>
    <w:p>
      <w:pPr>
        <w:pStyle w:val="ListParagraph"/>
        <w:numPr>
          <w:ilvl w:val="0"/>
          <w:numId w:val="2"/>
        </w:numPr>
        <w:spacing w:after="80"/>
      </w:pPr>
      <w:r>
        <w:t xml:space="preserve">Tablas usadas: Sales Header, Sales Line, Customer, Item, Salesperson_Purchaser.</w:t>
      </w:r>
    </w:p>
    <w:p>
      <w:pPr>
        <w:pStyle w:val="Heading2"/>
        <w:spacing w:after="150" w:before="300"/>
      </w:pPr>
      <w:r>
        <w:t xml:space="preserve">2.3 Surtido Histórico</w:t>
      </w:r>
    </w:p>
    <w:p>
      <w:pPr>
        <w:spacing w:after="150"/>
      </w:pPr>
      <w:r>
        <w:t xml:space="preserve">Métricas de tiempo (Dias_Surtido promedio y máximo) por No_Series, usando las tablas de pedidos archivados (ya cerrados).</w:t>
      </w:r>
    </w:p>
    <w:p>
      <w:pPr>
        <w:pStyle w:val="ListParagraph"/>
        <w:numPr>
          <w:ilvl w:val="0"/>
          <w:numId w:val="2"/>
        </w:numPr>
        <w:spacing w:after="80"/>
      </w:pPr>
      <w:r>
        <w:t xml:space="preserve">Tablas usadas: Sales Header Archive_1/2, Interface entries, Pedidos enviados.</w:t>
      </w:r>
    </w:p>
    <w:p>
      <w:pPr>
        <w:pStyle w:val="Heading2"/>
        <w:spacing w:after="150" w:before="300"/>
      </w:pPr>
      <w:r>
        <w:t xml:space="preserve">2.4 Tiempo Total Histórico</w:t>
      </w:r>
    </w:p>
    <w:p>
      <w:pPr>
        <w:spacing w:after="150"/>
      </w:pPr>
      <w:r>
        <w:t xml:space="preserve">Página que actualmente presenta un </w:t>
      </w:r>
      <w:r>
        <w:rPr>
          <w:b/>
          <w:bCs/>
          <w:color w:val="B91C1C"/>
        </w:rPr>
        <w:t xml:space="preserve">bug confirmado</w:t>
      </w:r>
      <w:r>
        <w:t xml:space="preserve"> — ver sección 5.1.</w:t>
      </w:r>
    </w:p>
    <w:p>
      <w:pPr>
        <w:pStyle w:val="ListParagraph"/>
        <w:numPr>
          <w:ilvl w:val="0"/>
          <w:numId w:val="2"/>
        </w:numPr>
        <w:spacing w:after="80"/>
      </w:pPr>
      <w:r>
        <w:t xml:space="preserve">Tablas usadas: Sales Header Archive_1/2, Interface entries, Pedidos enviados.</w:t>
      </w:r>
    </w:p>
    <w:p>
      <w:pPr>
        <w:pStyle w:val="Heading2"/>
        <w:spacing w:after="150" w:before="300"/>
      </w:pPr>
      <w:r>
        <w:t xml:space="preserve">2.5 Indicador Diario</w:t>
      </w:r>
    </w:p>
    <w:p>
      <w:pPr>
        <w:spacing w:after="150"/>
      </w:pPr>
      <w:r>
        <w:t xml:space="preserve">Introduce el campo ID_Sts (semáforo de cumplimiento On Time / Warining / Delay), el corazón operativo del dashboard — ver sección 3.2.</w:t>
      </w:r>
    </w:p>
    <w:p>
      <w:pPr>
        <w:pStyle w:val="ListParagraph"/>
        <w:numPr>
          <w:ilvl w:val="0"/>
          <w:numId w:val="2"/>
        </w:numPr>
        <w:spacing w:after="80"/>
      </w:pPr>
      <w:r>
        <w:t xml:space="preserve">Tablas usadas: Sales Header, Sales Line, Customer, Item, Salesperson_Purchaser.</w:t>
      </w:r>
    </w:p>
    <w:p>
      <w:pPr>
        <w:pStyle w:val="Heading2"/>
        <w:spacing w:after="150" w:before="300"/>
      </w:pPr>
      <w:r>
        <w:t xml:space="preserve">2.6 Analítico Tiempos</w:t>
      </w:r>
    </w:p>
    <w:p>
      <w:pPr>
        <w:spacing w:after="150"/>
      </w:pPr>
      <w:r>
        <w:t xml:space="preserve">Análisis de patrones de carga de pedidos (día de la semana, hora del día) usando la tabla Pedidos enviados, cruzado con No_Series.</w:t>
      </w:r>
    </w:p>
    <w:p>
      <w:pPr>
        <w:pStyle w:val="ListParagraph"/>
        <w:numPr>
          <w:ilvl w:val="0"/>
          <w:numId w:val="2"/>
        </w:numPr>
        <w:spacing w:after="80"/>
      </w:pPr>
      <w:r>
        <w:t xml:space="preserve">Tablas usadas: Interface entries, Sales Header Archive_1, Pedidos enviados.</w:t>
      </w:r>
    </w:p>
    <w:p>
      <w:r>
        <w:br w:type="page"/>
      </w:r>
    </w:p>
    <w:p>
      <w:pPr>
        <w:pStyle w:val="Heading1"/>
        <w:spacing w:after="200" w:before="400"/>
      </w:pPr>
      <w:r>
        <w:t xml:space="preserve">3. Hallazgos confirmados</w:t>
      </w:r>
    </w:p>
    <w:p>
      <w:pPr>
        <w:pStyle w:val="Heading2"/>
        <w:spacing w:after="150" w:before="300"/>
      </w:pPr>
      <w:r>
        <w:t xml:space="preserve">3.1 Status Ped vs. Status Onest</w:t>
      </w:r>
    </w:p>
    <w:p>
      <w:pPr>
        <w:spacing w:after="150"/>
      </w:pPr>
      <w:r>
        <w:t xml:space="preserve">No son dos sistemas distintos: son el mismo pedido visto desde dos ejes distintos del mismo flujo.</w:t>
      </w:r>
    </w:p>
    <w:p>
      <w:pPr>
        <w:pStyle w:val="ListParagraph"/>
        <w:numPr>
          <w:ilvl w:val="0"/>
          <w:numId w:val="2"/>
        </w:numPr>
        <w:spacing w:after="80"/>
      </w:pPr>
      <w:r>
        <w:t xml:space="preserve">Status Ped responde: ¿ya se mandó a surtir? Valores: Abierto → Lanzado (con Pend x Aut como excepción de autorización).</w:t>
      </w:r>
    </w:p>
    <w:p>
      <w:pPr>
        <w:pStyle w:val="ListParagraph"/>
        <w:numPr>
          <w:ilvl w:val="0"/>
          <w:numId w:val="2"/>
        </w:numPr>
        <w:spacing w:after="80"/>
      </w:pPr>
      <w:r>
        <w:t xml:space="preserve">Status Onest responde: ¿en qué parte del flujo completo está? Valores: 01 Abierto → 02 Por Liberar → 04 Por Facturar → 05 Facturado / 06 Cancelado.</w:t>
      </w:r>
    </w:p>
    <w:p>
      <w:pPr>
        <w:spacing w:after="150"/>
      </w:pPr>
      <w:r>
        <w:t xml:space="preserve">Todo pedido generado desde cualquier canal (Gerente de Zona) entra automáticamente al flujo Onest desde su creación.</w:t>
      </w:r>
    </w:p>
    <w:p>
      <w:pPr>
        <w:pStyle w:val="Heading2"/>
        <w:spacing w:after="150" w:before="300"/>
      </w:pPr>
      <w:r>
        <w:t xml:space="preserve">3.2 ID_Sts — el semáforo de cumplimiento (On Time / Warining / Delay)</w:t>
      </w:r>
    </w:p>
    <w:p>
      <w:pPr>
        <w:spacing w:after="150"/>
      </w:pPr>
      <w:r>
        <w:t xml:space="preserve">Regla de negocio declarada: el pedido tiene 2 días naturales para ser surtido desde que se lanza.</w:t>
      </w:r>
    </w:p>
    <w:p>
      <w:pPr>
        <w:spacing w:after="150"/>
      </w:pPr>
      <w:r>
        <w:rPr>
          <w:b/>
          <w:bCs/>
          <w:color w:val="1F2937"/>
        </w:rPr>
        <w:t xml:space="preserve">Validación con datos: </w:t>
      </w:r>
      <w:r>
        <w:t xml:space="preserve">se cruzaron 282 registros de la página “Indicador Diario” comparando el campo Fecha Surtido contra la fecha del día de la exportación (10/09/2026). El corte fue exacto, sin una sola excepción: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800"/>
      </w:tblGrid>
      <w:tr>
        <w:trPr>
          <w:tblHeader/>
        </w:trPr>
        <w:tc>
          <w:tcPr>
            <w:tcW w:type="dxa" w:w="4200"/>
            <w:shd w:fill="1F2937" w:val="clear"/>
          </w:tcPr>
          <w:p>
            <w:pPr>
              <w:jc w:val="left"/>
            </w:pPr>
            <w:r>
              <w:rPr>
                <w:b/>
                <w:bCs/>
                <w:color w:val="FFFFFF"/>
                <w:sz w:val="20"/>
                <w:szCs w:val="20"/>
              </w:rPr>
              <w:t xml:space="preserve">Fecha Surtido vs. hoy</w:t>
            </w:r>
          </w:p>
        </w:tc>
        <w:tc>
          <w:tcPr>
            <w:tcW w:type="dxa" w:w="2400"/>
            <w:shd w:fill="1F2937" w:val="clear"/>
          </w:tcPr>
          <w:p>
            <w:pPr>
              <w:jc w:val="left"/>
            </w:pPr>
            <w:r>
              <w:rPr>
                <w:b/>
                <w:bCs/>
                <w:color w:val="FFFFFF"/>
                <w:sz w:val="20"/>
                <w:szCs w:val="20"/>
              </w:rPr>
              <w:t xml:space="preserve">ID_Sts resultante</w:t>
            </w:r>
          </w:p>
        </w:tc>
        <w:tc>
          <w:tcPr>
            <w:tcW w:type="dxa" w:w="2800"/>
            <w:shd w:fill="1F2937" w:val="clear"/>
          </w:tcPr>
          <w:p>
            <w:pPr>
              <w:jc w:val="left"/>
            </w:pPr>
            <w:r>
              <w:rPr>
                <w:b/>
                <w:bCs/>
                <w:color w:val="FFFFFF"/>
                <w:sz w:val="20"/>
                <w:szCs w:val="20"/>
              </w:rPr>
              <w:t xml:space="preserve">Casos observados</w:t>
            </w:r>
          </w:p>
        </w:tc>
      </w:tr>
      <w:tr>
        <w:tc>
          <w:tcPr>
            <w:tcW w:type="dxa" w:w="4200"/>
            <w:shd w:fill="FFFFFF" w:val="clear"/>
          </w:tcPr>
          <w:p>
            <w:pPr>
              <w:jc w:val="left"/>
            </w:pPr>
            <w:r>
              <w:rPr>
                <w:b w:val="false"/>
                <w:bCs w:val="false"/>
                <w:sz w:val="20"/>
                <w:szCs w:val="20"/>
              </w:rPr>
              <w:t xml:space="preserve">Ya pasó (pedido sin resolver)</w:t>
            </w:r>
          </w:p>
        </w:tc>
        <w:tc>
          <w:tcPr>
            <w:tcW w:type="dxa" w:w="2400"/>
            <w:shd w:fill="FFFFFF" w:val="clear"/>
          </w:tcPr>
          <w:p>
            <w:pPr>
              <w:jc w:val="left"/>
            </w:pPr>
            <w:r>
              <w:rPr>
                <w:b w:val="false"/>
                <w:bCs w:val="false"/>
                <w:sz w:val="20"/>
                <w:szCs w:val="20"/>
              </w:rPr>
              <w:t xml:space="preserve">Delay</w:t>
            </w:r>
          </w:p>
        </w:tc>
        <w:tc>
          <w:tcPr>
            <w:tcW w:type="dxa" w:w="2800"/>
            <w:shd w:fill="FFFFFF" w:val="clear"/>
          </w:tcPr>
          <w:p>
            <w:pPr>
              <w:jc w:val="left"/>
            </w:pPr>
            <w:r>
              <w:rPr>
                <w:b w:val="false"/>
                <w:bCs w:val="false"/>
                <w:sz w:val="20"/>
                <w:szCs w:val="20"/>
              </w:rPr>
              <w:t xml:space="preserve">9</w:t>
            </w:r>
          </w:p>
        </w:tc>
      </w:tr>
      <w:tr>
        <w:tc>
          <w:tcPr>
            <w:tcW w:type="dxa" w:w="4200"/>
            <w:shd w:fill="F3F4F6" w:val="clear"/>
          </w:tcPr>
          <w:p>
            <w:pPr>
              <w:jc w:val="left"/>
            </w:pPr>
            <w:r>
              <w:rPr>
                <w:b w:val="false"/>
                <w:bCs w:val="false"/>
                <w:sz w:val="20"/>
                <w:szCs w:val="20"/>
              </w:rPr>
              <w:t xml:space="preserve">Es hoy</w:t>
            </w:r>
          </w:p>
        </w:tc>
        <w:tc>
          <w:tcPr>
            <w:tcW w:type="dxa" w:w="2400"/>
            <w:shd w:fill="F3F4F6" w:val="clear"/>
          </w:tcPr>
          <w:p>
            <w:pPr>
              <w:jc w:val="left"/>
            </w:pPr>
            <w:r>
              <w:rPr>
                <w:b w:val="false"/>
                <w:bCs w:val="false"/>
                <w:sz w:val="20"/>
                <w:szCs w:val="20"/>
              </w:rPr>
              <w:t xml:space="preserve">Warining</w:t>
            </w:r>
          </w:p>
        </w:tc>
        <w:tc>
          <w:tcPr>
            <w:tcW w:type="dxa" w:w="2800"/>
            <w:shd w:fill="F3F4F6" w:val="clear"/>
          </w:tcPr>
          <w:p>
            <w:pPr>
              <w:jc w:val="left"/>
            </w:pPr>
            <w:r>
              <w:rPr>
                <w:b w:val="false"/>
                <w:bCs w:val="false"/>
                <w:sz w:val="20"/>
                <w:szCs w:val="20"/>
              </w:rPr>
              <w:t xml:space="preserve">205</w:t>
            </w:r>
          </w:p>
        </w:tc>
      </w:tr>
      <w:tr>
        <w:tc>
          <w:tcPr>
            <w:tcW w:type="dxa" w:w="4200"/>
            <w:shd w:fill="FFFFFF" w:val="clear"/>
          </w:tcPr>
          <w:p>
            <w:pPr>
              <w:jc w:val="left"/>
            </w:pPr>
            <w:r>
              <w:rPr>
                <w:b w:val="false"/>
                <w:bCs w:val="false"/>
                <w:sz w:val="20"/>
                <w:szCs w:val="20"/>
              </w:rPr>
              <w:t xml:space="preserve">Es una fecha futura</w:t>
            </w:r>
          </w:p>
        </w:tc>
        <w:tc>
          <w:tcPr>
            <w:tcW w:type="dxa" w:w="2400"/>
            <w:shd w:fill="FFFFFF" w:val="clear"/>
          </w:tcPr>
          <w:p>
            <w:pPr>
              <w:jc w:val="left"/>
            </w:pPr>
            <w:r>
              <w:rPr>
                <w:b w:val="false"/>
                <w:bCs w:val="false"/>
                <w:sz w:val="20"/>
                <w:szCs w:val="20"/>
              </w:rPr>
              <w:t xml:space="preserve">On Time</w:t>
            </w:r>
          </w:p>
        </w:tc>
        <w:tc>
          <w:tcPr>
            <w:tcW w:type="dxa" w:w="2800"/>
            <w:shd w:fill="FFFFFF" w:val="clear"/>
          </w:tcPr>
          <w:p>
            <w:pPr>
              <w:jc w:val="left"/>
            </w:pPr>
            <w:r>
              <w:rPr>
                <w:b w:val="false"/>
                <w:bCs w:val="false"/>
                <w:sz w:val="20"/>
                <w:szCs w:val="20"/>
              </w:rPr>
              <w:t xml:space="preserve">68</w:t>
            </w:r>
          </w:p>
        </w:tc>
      </w:tr>
    </w:tbl>
    <w:p>
      <w:pPr>
        <w:spacing w:after="150"/>
      </w:pPr>
      <w:r>
        <w:rPr>
          <w:b/>
          <w:bCs/>
        </w:rPr>
        <w:t xml:space="preserve">
Conclusión clave: </w:t>
      </w:r>
      <w:r>
        <w:t xml:space="preserve">el campo Fecha Surtido que usa ID_Sts no es la fecha real en que se completó el surtido, sino una fecha objetivo / compromiso (probablemente Fecha creación + 2 días naturales). ID_Sts compara esa fecha objetivo contra HOY, por lo que es un campo dinámico: dos personas pueden ver un ID_Sts distinto para el mismo pedido en días distintos, sin que nada más haya cambiado en el pedido.</w:t>
      </w:r>
    </w:p>
    <w:p>
      <w:pPr>
        <w:pStyle w:val="Heading2"/>
        <w:spacing w:after="150" w:before="300"/>
      </w:pPr>
      <w:r>
        <w:t xml:space="preserve">3.3 Dias_Surtido — fórmula de tiempo de surtido</w:t>
      </w:r>
    </w:p>
    <w:p>
      <w:pPr>
        <w:spacing w:after="150"/>
      </w:pPr>
      <w:r>
        <w:t xml:space="preserve">El flujo real, según lo declarado por el negocio y confirmado con datos, tiene 3 momentos:</w:t>
      </w:r>
    </w:p>
    <w:p>
      <w:pPr>
        <w:pStyle w:val="ListParagraph"/>
        <w:numPr>
          <w:ilvl w:val="0"/>
          <w:numId w:val="2"/>
        </w:numPr>
        <w:spacing w:after="80"/>
      </w:pPr>
      <w:r>
        <w:t xml:space="preserve">1. Order Date — se crea el pedido (Sales Header).</w:t>
      </w:r>
    </w:p>
    <w:p>
      <w:pPr>
        <w:pStyle w:val="ListParagraph"/>
        <w:numPr>
          <w:ilvl w:val="0"/>
          <w:numId w:val="2"/>
        </w:numPr>
        <w:spacing w:after="80"/>
      </w:pPr>
      <w:r>
        <w:t xml:space="preserve">2. Marca “-1” en Interface entries — el pedido queda listo para facturar/embarcar (aparece una vez la factura existe).</w:t>
      </w:r>
    </w:p>
    <w:p>
      <w:pPr>
        <w:pStyle w:val="ListParagraph"/>
        <w:numPr>
          <w:ilvl w:val="0"/>
          <w:numId w:val="2"/>
        </w:numPr>
        <w:spacing w:after="80"/>
      </w:pPr>
      <w:r>
        <w:t xml:space="preserve">3. Primer evento de “actualización en docto de envío” en el Log Interface Onest-BC — el embarque real.</w:t>
      </w:r>
    </w:p>
    <w:p>
      <w:pPr>
        <w:spacing w:after="150"/>
      </w:pPr>
      <w:r>
        <w:rPr>
          <w:b/>
          <w:bCs/>
          <w:color w:val="1F2937"/>
        </w:rPr>
        <w:t xml:space="preserve">Validación con datos: </w:t>
      </w:r>
      <w:r>
        <w:t xml:space="preserve">se enlazaron las 3 marcas de tiempo para 34 pedidos (Sales Header + Interface entries + Log Interface Onest-BC). El tiempo promedio de Order Date al evento de envío fue de </w:t>
      </w:r>
      <w:r>
        <w:rPr>
          <w:b/>
          <w:bCs/>
          <w:color w:val="15803D"/>
        </w:rPr>
        <w:t xml:space="preserve">2.29 días</w:t>
      </w:r>
      <w:r>
        <w:t xml:space="preserve"> (mínimo 0.45, máximo 4.67) — coincide con la regla declarada de 2 días.</w:t>
      </w:r>
    </w:p>
    <w:p>
      <w:pPr>
        <w:spacing w:after="150"/>
      </w:pPr>
      <w:r>
        <w:rPr>
          <w:b/>
          <w:bCs/>
        </w:rPr>
        <w:t xml:space="preserve">
Adicionalmente: </w:t>
      </w:r>
      <w:r>
        <w:t xml:space="preserve">de 1,401 pedidos analizados en Interface entries, </w:t>
      </w:r>
      <w:r>
        <w:rPr>
          <w:b/>
          <w:bCs/>
          <w:color w:val="B45309"/>
        </w:rPr>
        <w:t xml:space="preserve">90 (6.4%)</w:t>
      </w:r>
      <w:r>
        <w:t xml:space="preserve"> tuvieron al menos un error de interfaz en la marca “-1” (mensajes como “record locked by another user” o “remisión ya procesada”). Este es el indicador que el negocio pidió auditar como “envíos que se detienen por algún problema”, y ya se puede calcular.</w:t>
      </w:r>
    </w:p>
    <w:p>
      <w:pPr>
        <w:pStyle w:val="Heading2"/>
        <w:spacing w:after="150" w:before="300"/>
      </w:pPr>
      <w:r>
        <w:t xml:space="preserve">3.4 No_Series</w:t>
      </w:r>
    </w:p>
    <w:p>
      <w:pPr>
        <w:spacing w:after="150"/>
      </w:pPr>
      <w:r>
        <w:t xml:space="preserve">Confirmado: cada prefijo (V-PED-EXP, V-PED-IND, V-PED-PDROP, etc.) representa el canal de venta del que se originó el pedido.</w:t>
      </w:r>
    </w:p>
    <w:p>
      <w:pPr>
        <w:pStyle w:val="Heading2"/>
        <w:spacing w:after="150" w:before="300"/>
      </w:pPr>
      <w:r>
        <w:t xml:space="preserve">3.5 Interface entries — mecanismo de eventos</w:t>
      </w:r>
    </w:p>
    <w:p>
      <w:pPr>
        <w:spacing w:after="150"/>
      </w:pPr>
      <w:r>
        <w:t xml:space="preserve">Tabla ya presente en el modelo actual del dashboard (no falta agregarla). El campo LineNo = -1 marca el evento a nivel de documento (no de línea): el momento en que el pedido queda listo para facturar/embarcar, condicionado a que ya exista la factura (Sales Invoice Header). El campo Interface Msg_ vacío indica que el proceso salió bien; con texto, indica un problema puntual.</w:t>
      </w:r>
    </w:p>
    <w:p>
      <w:r>
        <w:br w:type="page"/>
      </w:r>
    </w:p>
    <w:p>
      <w:pPr>
        <w:pStyle w:val="Heading1"/>
        <w:spacing w:after="200" w:before="400"/>
      </w:pPr>
      <w:r>
        <w:t xml:space="preserve">4. Pendiente — bloqueado por falta de acceso</w:t>
      </w:r>
    </w:p>
    <w:p>
      <w:pPr>
        <w:pStyle w:val="Heading2"/>
        <w:spacing w:after="150" w:before="300"/>
      </w:pPr>
      <w:r>
        <w:t xml:space="preserve">4.1 Enviado (Completo / Incompleto)</w:t>
      </w:r>
    </w:p>
    <w:p>
      <w:pPr>
        <w:spacing w:after="150"/>
      </w:pPr>
      <w:r>
        <w:t xml:space="preserve">Se probaron 3 hipótesis contra datos reales de 20 pedidos (9 “Completamente” / 11 “Incompleto”), y ninguna cuadró de forma consistente:</w:t>
      </w:r>
    </w:p>
    <w:p>
      <w:pPr>
        <w:pStyle w:val="ListParagraph"/>
        <w:numPr>
          <w:ilvl w:val="0"/>
          <w:numId w:val="2"/>
        </w:numPr>
        <w:spacing w:after="80"/>
      </w:pPr>
      <w:r>
        <w:t xml:space="preserve">Shipping Advice (campo estándar de Business Central): vino en 0 para los 20 casos — descartado.</w:t>
      </w:r>
    </w:p>
    <w:p>
      <w:pPr>
        <w:pStyle w:val="ListParagraph"/>
        <w:numPr>
          <w:ilvl w:val="0"/>
          <w:numId w:val="2"/>
        </w:numPr>
        <w:spacing w:after="80"/>
      </w:pPr>
      <w:r>
        <w:t xml:space="preserve">Ship / Status a nivel de encabezado: no distingue — hay pedidos “Incompletos” con exactamente el mismo patrón que los “Completos”.</w:t>
      </w:r>
    </w:p>
    <w:p>
      <w:pPr>
        <w:pStyle w:val="ListParagraph"/>
        <w:numPr>
          <w:ilvl w:val="0"/>
          <w:numId w:val="2"/>
        </w:numPr>
        <w:spacing w:after="80"/>
      </w:pPr>
      <w:r>
        <w:t xml:space="preserve">Completely Shipped y comparación de cantidades en Sales Line: resultado contradictorio en varios casos (pedidos “Incompletos” con 100% de la cantidad ya embarcada, y viceversa).</w:t>
      </w:r>
    </w:p>
    <w:p>
      <w:pPr>
        <w:spacing w:after="150"/>
      </w:pPr>
      <w:r>
        <w:rPr>
          <w:b/>
          <w:bCs/>
        </w:rPr>
        <w:t xml:space="preserve">
Conclusión: </w:t>
      </w:r>
      <w:r>
        <w:t xml:space="preserve">Enviado probablemente no se calcula en vivo sobre las cantidades de Sales Line (que cambian constantemente), sino que es un campo que se escribe una sola vez en el momento del evento de embarque, del lado de la interfaz “Onest BC”, y luego queda fijo. </w:t>
      </w:r>
      <w:r>
        <w:rPr>
          <w:b/>
          <w:bCs/>
          <w:color w:val="B91C1C"/>
        </w:rPr>
        <w:t xml:space="preserve">Acción recomendada: </w:t>
      </w:r>
      <w:r>
        <w:t xml:space="preserve">preguntar directamente a quien administra la extensión/interfaz de Business Central en qué evento del proceso se escribe este campo y con qué regla. No es recomendable seguir intentando deducirlo por datos.</w:t>
      </w:r>
    </w:p>
    <w:p>
      <w:r>
        <w:br w:type="page"/>
      </w:r>
    </w:p>
    <w:p>
      <w:pPr>
        <w:pStyle w:val="Heading1"/>
        <w:spacing w:after="200" w:before="400"/>
      </w:pPr>
      <w:r>
        <w:t xml:space="preserve">5. Bugs detectados en el dashboard actual</w:t>
      </w:r>
    </w:p>
    <w:p>
      <w:pPr>
        <w:spacing w:after="150"/>
      </w:pPr>
      <w:r>
        <w:t xml:space="preserve">Estos hallazgos no son parte de “entender la lógica” — son errores existentes que conviene corregir, no solo documentar.</w:t>
      </w:r>
    </w:p>
    <w:p>
      <w:pPr>
        <w:pStyle w:val="Heading2"/>
        <w:spacing w:after="150" w:before="300"/>
      </w:pPr>
      <w:r>
        <w:t xml:space="preserve">5.1 “Tiempo Total Histórico” usa la tabla incorrecta</w:t>
      </w:r>
    </w:p>
    <w:p>
      <w:pPr>
        <w:spacing w:after="150"/>
      </w:pPr>
      <w:r>
        <w:t xml:space="preserve">La página calcula Dias_Surtido y Dias envio a partir de Sales Header Archive, cuando el evento real de surtido/envío vive en </w:t>
      </w:r>
      <w:r>
        <w:rPr>
          <w:b/>
          <w:bCs/>
          <w:color w:val="2563EB"/>
        </w:rPr>
        <w:t xml:space="preserve">Interface entries</w:t>
      </w:r>
      <w:r>
        <w:t xml:space="preserve"> (confirmado en la sección 3.3). Esto significa que los números que muestra hoy esa página probablemente no reflejan el proceso real.</w:t>
      </w:r>
    </w:p>
    <w:p>
      <w:pPr>
        <w:spacing w:after="150"/>
      </w:pPr>
      <w:r>
        <w:rPr>
          <w:b/>
          <w:bCs/>
        </w:rPr>
        <w:t xml:space="preserve">Acción recomendada: </w:t>
      </w:r>
      <w:r>
        <w:t xml:space="preserve">antes de agregar cosas nuevas a esta página, corregir la fuente de datos que usa, siguiendo la fórmula validada en la sección 3.3.</w:t>
      </w:r>
    </w:p>
    <w:p>
      <w:pPr>
        <w:pStyle w:val="Heading2"/>
        <w:spacing w:after="150" w:before="300"/>
      </w:pPr>
      <w:r>
        <w:t xml:space="preserve">5.2 Desfase de 6 horas entre logs de sistema</w:t>
      </w:r>
    </w:p>
    <w:p>
      <w:pPr>
        <w:spacing w:after="150"/>
      </w:pPr>
      <w:r>
        <w:t xml:space="preserve">Al cruzar Interface entries (marca “-1”) contra Log Interface Onest-BC (evento de envío) para los mismos 34 pedidos, el evento de envío aparece </w:t>
      </w:r>
      <w:r>
        <w:rPr>
          <w:b/>
          <w:bCs/>
          <w:color w:val="B91C1C"/>
        </w:rPr>
        <w:t xml:space="preserve">exactamente 6 horas antes</w:t>
      </w:r>
      <w:r>
        <w:t xml:space="preserve"> que la marca de “factura lista”, en el 100% de los casos — lo cual es imposible en la realidad (no se puede embarcar antes de tener factura, como el propio negocio señaló).</w:t>
      </w:r>
    </w:p>
    <w:p>
      <w:pPr>
        <w:spacing w:after="150"/>
      </w:pPr>
      <w:r>
        <w:rPr>
          <w:b/>
          <w:bCs/>
        </w:rPr>
        <w:t xml:space="preserve">Explicación más probable: </w:t>
      </w:r>
      <w:r>
        <w:t xml:space="preserve">una de las dos tablas de log guarda el timestamp en UTC y la otra en hora local de México (UTC-6). Es un desfase de zona horaria, no un problema de proceso.</w:t>
      </w:r>
    </w:p>
    <w:p>
      <w:pPr>
        <w:spacing w:after="150"/>
      </w:pPr>
      <w:r>
        <w:rPr>
          <w:b/>
          <w:bCs/>
        </w:rPr>
        <w:t xml:space="preserve">Acción recomendada: </w:t>
      </w:r>
      <w:r>
        <w:t xml:space="preserve">normalizar la zona horaria de ambas fuentes antes de construir cualquier medida que calcule tiempos exactos entre estos dos eventos.</w:t>
      </w:r>
    </w:p>
    <w:p>
      <w:r>
        <w:br w:type="page"/>
      </w:r>
    </w:p>
    <w:p>
      <w:pPr>
        <w:pStyle w:val="Heading1"/>
        <w:spacing w:after="200" w:before="400"/>
      </w:pPr>
      <w:r>
        <w:t xml:space="preserve">6. Inventario de tablas del modelo</w:t>
      </w:r>
    </w:p>
    <w:p>
      <w:pPr>
        <w:spacing w:after="150"/>
      </w:pPr>
      <w:r>
        <w:t xml:space="preserve">Tablas identificadas en el reporte, todas provenientes de Business Central (prefijo INDS_ TAMER$ en el modelo original):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2937" w:val="clear"/>
          </w:tcPr>
          <w:p>
            <w:pPr>
              <w:jc w:val="left"/>
            </w:pPr>
            <w:r>
              <w:rPr>
                <w:b/>
                <w:bCs/>
                <w:color w:val="FFFFFF"/>
                <w:sz w:val="20"/>
                <w:szCs w:val="20"/>
              </w:rPr>
              <w:t xml:space="preserve">Tabla</w:t>
            </w:r>
          </w:p>
        </w:tc>
        <w:tc>
          <w:tcPr>
            <w:tcW w:type="dxa" w:w="6200"/>
            <w:shd w:fill="1F2937" w:val="clear"/>
          </w:tcPr>
          <w:p>
            <w:pPr>
              <w:jc w:val="left"/>
            </w:pPr>
            <w:r>
              <w:rPr>
                <w:b/>
                <w:bCs/>
                <w:color w:val="FFFFFF"/>
                <w:sz w:val="20"/>
                <w:szCs w:val="20"/>
              </w:rPr>
              <w:t xml:space="preserve">Uso principal en el dashboard</w:t>
            </w:r>
          </w:p>
        </w:tc>
      </w:tr>
      <w:tr>
        <w:tc>
          <w:tcPr>
            <w:tcW w:type="dxa" w:w="3200"/>
            <w:shd w:fill="FFFFFF" w:val="clear"/>
          </w:tcPr>
          <w:p>
            <w:pPr>
              <w:jc w:val="left"/>
            </w:pPr>
            <w:r>
              <w:rPr>
                <w:b w:val="false"/>
                <w:bCs w:val="false"/>
                <w:sz w:val="20"/>
                <w:szCs w:val="20"/>
              </w:rPr>
              <w:t xml:space="preserve">Sales Header</w:t>
            </w:r>
          </w:p>
        </w:tc>
        <w:tc>
          <w:tcPr>
            <w:tcW w:type="dxa" w:w="6200"/>
            <w:shd w:fill="FFFFFF" w:val="clear"/>
          </w:tcPr>
          <w:p>
            <w:pPr>
              <w:jc w:val="left"/>
            </w:pPr>
            <w:r>
              <w:rPr>
                <w:b w:val="false"/>
                <w:bCs w:val="false"/>
                <w:sz w:val="20"/>
                <w:szCs w:val="20"/>
              </w:rPr>
              <w:t xml:space="preserve">Encabezado del pedido de venta: fechas, cliente, estatus</w:t>
            </w:r>
          </w:p>
        </w:tc>
      </w:tr>
      <w:tr>
        <w:tc>
          <w:tcPr>
            <w:tcW w:type="dxa" w:w="3200"/>
            <w:shd w:fill="F3F4F6" w:val="clear"/>
          </w:tcPr>
          <w:p>
            <w:pPr>
              <w:jc w:val="left"/>
            </w:pPr>
            <w:r>
              <w:rPr>
                <w:b w:val="false"/>
                <w:bCs w:val="false"/>
                <w:sz w:val="20"/>
                <w:szCs w:val="20"/>
              </w:rPr>
              <w:t xml:space="preserve">Sales Line</w:t>
            </w:r>
          </w:p>
        </w:tc>
        <w:tc>
          <w:tcPr>
            <w:tcW w:type="dxa" w:w="6200"/>
            <w:shd w:fill="F3F4F6" w:val="clear"/>
          </w:tcPr>
          <w:p>
            <w:pPr>
              <w:jc w:val="left"/>
            </w:pPr>
            <w:r>
              <w:rPr>
                <w:b w:val="false"/>
                <w:bCs w:val="false"/>
                <w:sz w:val="20"/>
                <w:szCs w:val="20"/>
              </w:rPr>
              <w:t xml:space="preserve">Detalle del pedido: artículo, cantidad, monto</w:t>
            </w:r>
          </w:p>
        </w:tc>
      </w:tr>
      <w:tr>
        <w:tc>
          <w:tcPr>
            <w:tcW w:type="dxa" w:w="3200"/>
            <w:shd w:fill="FFFFFF" w:val="clear"/>
          </w:tcPr>
          <w:p>
            <w:pPr>
              <w:jc w:val="left"/>
            </w:pPr>
            <w:r>
              <w:rPr>
                <w:b w:val="false"/>
                <w:bCs w:val="false"/>
                <w:sz w:val="20"/>
                <w:szCs w:val="20"/>
              </w:rPr>
              <w:t xml:space="preserve">Sales Header Archive_1 / _2</w:t>
            </w:r>
          </w:p>
        </w:tc>
        <w:tc>
          <w:tcPr>
            <w:tcW w:type="dxa" w:w="6200"/>
            <w:shd w:fill="FFFFFF" w:val="clear"/>
          </w:tcPr>
          <w:p>
            <w:pPr>
              <w:jc w:val="left"/>
            </w:pPr>
            <w:r>
              <w:rPr>
                <w:b w:val="false"/>
                <w:bCs w:val="false"/>
                <w:sz w:val="20"/>
                <w:szCs w:val="20"/>
              </w:rPr>
              <w:t xml:space="preserve">Pedidos ya cerrados / históricos</w:t>
            </w:r>
          </w:p>
        </w:tc>
      </w:tr>
      <w:tr>
        <w:tc>
          <w:tcPr>
            <w:tcW w:type="dxa" w:w="3200"/>
            <w:shd w:fill="F3F4F6" w:val="clear"/>
          </w:tcPr>
          <w:p>
            <w:pPr>
              <w:jc w:val="left"/>
            </w:pPr>
            <w:r>
              <w:rPr>
                <w:b w:val="false"/>
                <w:bCs w:val="false"/>
                <w:sz w:val="20"/>
                <w:szCs w:val="20"/>
              </w:rPr>
              <w:t xml:space="preserve">Sales Invoice Header</w:t>
            </w:r>
          </w:p>
        </w:tc>
        <w:tc>
          <w:tcPr>
            <w:tcW w:type="dxa" w:w="6200"/>
            <w:shd w:fill="F3F4F6" w:val="clear"/>
          </w:tcPr>
          <w:p>
            <w:pPr>
              <w:jc w:val="left"/>
            </w:pPr>
            <w:r>
              <w:rPr>
                <w:b w:val="false"/>
                <w:bCs w:val="false"/>
                <w:sz w:val="20"/>
                <w:szCs w:val="20"/>
              </w:rPr>
              <w:t xml:space="preserve">Facturas generadas a partir de los pedidos</w:t>
            </w:r>
          </w:p>
        </w:tc>
      </w:tr>
      <w:tr>
        <w:tc>
          <w:tcPr>
            <w:tcW w:type="dxa" w:w="3200"/>
            <w:shd w:fill="FFFFFF" w:val="clear"/>
          </w:tcPr>
          <w:p>
            <w:pPr>
              <w:jc w:val="left"/>
            </w:pPr>
            <w:r>
              <w:rPr>
                <w:b w:val="false"/>
                <w:bCs w:val="false"/>
                <w:sz w:val="20"/>
                <w:szCs w:val="20"/>
              </w:rPr>
              <w:t xml:space="preserve">Customer</w:t>
            </w:r>
          </w:p>
        </w:tc>
        <w:tc>
          <w:tcPr>
            <w:tcW w:type="dxa" w:w="6200"/>
            <w:shd w:fill="FFFFFF" w:val="clear"/>
          </w:tcPr>
          <w:p>
            <w:pPr>
              <w:jc w:val="left"/>
            </w:pPr>
            <w:r>
              <w:rPr>
                <w:b w:val="false"/>
                <w:bCs w:val="false"/>
                <w:sz w:val="20"/>
                <w:szCs w:val="20"/>
              </w:rPr>
              <w:t xml:space="preserve">Datos del cliente</w:t>
            </w:r>
          </w:p>
        </w:tc>
      </w:tr>
      <w:tr>
        <w:tc>
          <w:tcPr>
            <w:tcW w:type="dxa" w:w="3200"/>
            <w:shd w:fill="F3F4F6" w:val="clear"/>
          </w:tcPr>
          <w:p>
            <w:pPr>
              <w:jc w:val="left"/>
            </w:pPr>
            <w:r>
              <w:rPr>
                <w:b w:val="false"/>
                <w:bCs w:val="false"/>
                <w:sz w:val="20"/>
                <w:szCs w:val="20"/>
              </w:rPr>
              <w:t xml:space="preserve">Item</w:t>
            </w:r>
          </w:p>
        </w:tc>
        <w:tc>
          <w:tcPr>
            <w:tcW w:type="dxa" w:w="6200"/>
            <w:shd w:fill="F3F4F6" w:val="clear"/>
          </w:tcPr>
          <w:p>
            <w:pPr>
              <w:jc w:val="left"/>
            </w:pPr>
            <w:r>
              <w:rPr>
                <w:b w:val="false"/>
                <w:bCs w:val="false"/>
                <w:sz w:val="20"/>
                <w:szCs w:val="20"/>
              </w:rPr>
              <w:t xml:space="preserve">Catálogo de artículos</w:t>
            </w:r>
          </w:p>
        </w:tc>
      </w:tr>
      <w:tr>
        <w:tc>
          <w:tcPr>
            <w:tcW w:type="dxa" w:w="3200"/>
            <w:shd w:fill="FFFFFF" w:val="clear"/>
          </w:tcPr>
          <w:p>
            <w:pPr>
              <w:jc w:val="left"/>
            </w:pPr>
            <w:r>
              <w:rPr>
                <w:b w:val="false"/>
                <w:bCs w:val="false"/>
                <w:sz w:val="20"/>
                <w:szCs w:val="20"/>
              </w:rPr>
              <w:t xml:space="preserve">Salesperson_Purchaser</w:t>
            </w:r>
          </w:p>
        </w:tc>
        <w:tc>
          <w:tcPr>
            <w:tcW w:type="dxa" w:w="6200"/>
            <w:shd w:fill="FFFFFF" w:val="clear"/>
          </w:tcPr>
          <w:p>
            <w:pPr>
              <w:jc w:val="left"/>
            </w:pPr>
            <w:r>
              <w:rPr>
                <w:b w:val="false"/>
                <w:bCs w:val="false"/>
                <w:sz w:val="20"/>
                <w:szCs w:val="20"/>
              </w:rPr>
              <w:t xml:space="preserve">Vendedor / Gerente de Zona</w:t>
            </w:r>
          </w:p>
        </w:tc>
      </w:tr>
      <w:tr>
        <w:tc>
          <w:tcPr>
            <w:tcW w:type="dxa" w:w="3200"/>
            <w:shd w:fill="F3F4F6" w:val="clear"/>
          </w:tcPr>
          <w:p>
            <w:pPr>
              <w:jc w:val="left"/>
            </w:pPr>
            <w:r>
              <w:rPr>
                <w:b w:val="false"/>
                <w:bCs w:val="false"/>
                <w:sz w:val="20"/>
                <w:szCs w:val="20"/>
              </w:rPr>
              <w:t xml:space="preserve">Interface entries</w:t>
            </w:r>
          </w:p>
        </w:tc>
        <w:tc>
          <w:tcPr>
            <w:tcW w:type="dxa" w:w="6200"/>
            <w:shd w:fill="F3F4F6" w:val="clear"/>
          </w:tcPr>
          <w:p>
            <w:pPr>
              <w:jc w:val="left"/>
            </w:pPr>
            <w:r>
              <w:rPr>
                <w:b w:val="false"/>
                <w:bCs w:val="false"/>
                <w:sz w:val="20"/>
                <w:szCs w:val="20"/>
              </w:rPr>
              <w:t xml:space="preserve">Eventos del proceso de interfaz (marca -1, mensajes de error)</w:t>
            </w:r>
          </w:p>
        </w:tc>
      </w:tr>
      <w:tr>
        <w:tc>
          <w:tcPr>
            <w:tcW w:type="dxa" w:w="3200"/>
            <w:shd w:fill="FFFFFF" w:val="clear"/>
          </w:tcPr>
          <w:p>
            <w:pPr>
              <w:jc w:val="left"/>
            </w:pPr>
            <w:r>
              <w:rPr>
                <w:b w:val="false"/>
                <w:bCs w:val="false"/>
                <w:sz w:val="20"/>
                <w:szCs w:val="20"/>
              </w:rPr>
              <w:t xml:space="preserve">Pedidos enviados</w:t>
            </w:r>
          </w:p>
        </w:tc>
        <w:tc>
          <w:tcPr>
            <w:tcW w:type="dxa" w:w="6200"/>
            <w:shd w:fill="FFFFFF" w:val="clear"/>
          </w:tcPr>
          <w:p>
            <w:pPr>
              <w:jc w:val="left"/>
            </w:pPr>
            <w:r>
              <w:rPr>
                <w:b w:val="false"/>
                <w:bCs w:val="false"/>
                <w:sz w:val="20"/>
                <w:szCs w:val="20"/>
              </w:rPr>
              <w:t xml:space="preserve">Tabla especial con hora/día de carga del pedido (probable tabla calculada)</w:t>
            </w:r>
          </w:p>
        </w:tc>
      </w:tr>
      <w:tr>
        <w:tc>
          <w:tcPr>
            <w:tcW w:type="dxa" w:w="3200"/>
            <w:shd w:fill="F3F4F6" w:val="clear"/>
          </w:tcPr>
          <w:p>
            <w:pPr>
              <w:jc w:val="left"/>
            </w:pPr>
            <w:r>
              <w:rPr>
                <w:b w:val="false"/>
                <w:bCs w:val="false"/>
                <w:sz w:val="20"/>
                <w:szCs w:val="20"/>
              </w:rPr>
              <w:t xml:space="preserve">Change Log Entry</w:t>
            </w:r>
          </w:p>
        </w:tc>
        <w:tc>
          <w:tcPr>
            <w:tcW w:type="dxa" w:w="6200"/>
            <w:shd w:fill="F3F4F6" w:val="clear"/>
          </w:tcPr>
          <w:p>
            <w:pPr>
              <w:jc w:val="left"/>
            </w:pPr>
            <w:r>
              <w:rPr>
                <w:b w:val="false"/>
                <w:bCs w:val="false"/>
                <w:sz w:val="20"/>
                <w:szCs w:val="20"/>
              </w:rPr>
              <w:t xml:space="preserve">Auditoría de cambios/eliminaciones a nivel de registro (BC)</w:t>
            </w:r>
          </w:p>
        </w:tc>
      </w:tr>
      <w:tr>
        <w:tc>
          <w:tcPr>
            <w:tcW w:type="dxa" w:w="3200"/>
            <w:shd w:fill="FFFFFF" w:val="clear"/>
          </w:tcPr>
          <w:p>
            <w:pPr>
              <w:jc w:val="left"/>
            </w:pPr>
            <w:r>
              <w:rPr>
                <w:b w:val="false"/>
                <w:bCs w:val="false"/>
                <w:sz w:val="20"/>
                <w:szCs w:val="20"/>
              </w:rPr>
              <w:t xml:space="preserve">Log Interface Onest-BC</w:t>
            </w:r>
          </w:p>
        </w:tc>
        <w:tc>
          <w:tcPr>
            <w:tcW w:type="dxa" w:w="6200"/>
            <w:shd w:fill="FFFFFF" w:val="clear"/>
          </w:tcPr>
          <w:p>
            <w:pPr>
              <w:jc w:val="left"/>
            </w:pPr>
            <w:r>
              <w:rPr>
                <w:b w:val="false"/>
                <w:bCs w:val="false"/>
                <w:sz w:val="20"/>
                <w:szCs w:val="20"/>
              </w:rPr>
              <w:t xml:space="preserve">Log de texto libre del proceso de interfaz Onest (eventos de estatus y envío)</w:t>
            </w:r>
          </w:p>
        </w:tc>
      </w:tr>
    </w:tbl>
    <w:p>
      <w:pPr>
        <w:spacing w:after="150"/>
      </w:pPr>
      <w:r>
        <w:t xml:space="preserve">Las últimas dos tablas (Change Log Entry y Log Interface Onest-BC) no forman parte del modelo actual del pbix, pero fueron clave para validar las fórmulas de tiempo en este documento — vale la pena evaluar si conviene incorporarlas formalmente al modelo.</w:t>
      </w:r>
    </w:p>
    <w:p>
      <w:r>
        <w:br w:type="page"/>
      </w:r>
    </w:p>
    <w:p>
      <w:pPr>
        <w:pStyle w:val="Heading1"/>
        <w:spacing w:after="200" w:before="400"/>
      </w:pPr>
      <w:r>
        <w:t xml:space="preserve">7. Próximos pasos recomendados</w:t>
      </w:r>
    </w:p>
    <w:p>
      <w:pPr>
        <w:pStyle w:val="ListParagraph"/>
        <w:numPr>
          <w:ilvl w:val="0"/>
          <w:numId w:val="2"/>
        </w:numPr>
        <w:spacing w:after="80"/>
      </w:pPr>
      <w:r>
        <w:t xml:space="preserve">Corregir la página “Tiempo Total Histórico” para que use Interface entries en vez de Sales Header Archive (sección 5.1).</w:t>
      </w:r>
    </w:p>
    <w:p>
      <w:pPr>
        <w:pStyle w:val="ListParagraph"/>
        <w:numPr>
          <w:ilvl w:val="0"/>
          <w:numId w:val="2"/>
        </w:numPr>
        <w:spacing w:after="80"/>
      </w:pPr>
      <w:r>
        <w:t xml:space="preserve">Corregir o al menos documentar el desfase de 6 horas entre los logs antes de construir medidas de tiempo más finas (sección 5.2).</w:t>
      </w:r>
    </w:p>
    <w:p>
      <w:pPr>
        <w:pStyle w:val="ListParagraph"/>
        <w:numPr>
          <w:ilvl w:val="0"/>
          <w:numId w:val="2"/>
        </w:numPr>
        <w:spacing w:after="80"/>
      </w:pPr>
      <w:r>
        <w:t xml:space="preserve">Conseguir la definición exacta del campo Enviado con quien administra la interfaz Onest BC (sección 4.1).</w:t>
      </w:r>
    </w:p>
    <w:p>
      <w:pPr>
        <w:pStyle w:val="ListParagraph"/>
        <w:numPr>
          <w:ilvl w:val="0"/>
          <w:numId w:val="2"/>
        </w:numPr>
        <w:spacing w:after="80"/>
      </w:pPr>
      <w:r>
        <w:t xml:space="preserve">Con estas piezas confirmadas, ya es posible construir las medidas DAX y transformaciones M necesarias para replicar el comportamiento actual del dashboard, aun sin acceso al modelo original, siempre que se conecte directamente a las tablas fuente de Business Central.</w:t>
      </w:r>
    </w:p>
    <w:p>
      <w:pPr>
        <w:pStyle w:val="ListParagraph"/>
        <w:numPr>
          <w:ilvl w:val="0"/>
          <w:numId w:val="2"/>
        </w:numPr>
        <w:spacing w:after="80"/>
      </w:pPr>
      <w:r>
        <w:t xml:space="preserve">Antes de agregar funcionalidad nueva, validar con el jefe cuál es el cambio específico solicitado y contrastarlo contra este mapa para saber exactamente qué tablas y campos hay que tocar.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2026-09-10T23:50:56.687Z</dcterms:created>
  <dcterms:modified xsi:type="dcterms:W3CDTF">2026-09-10T23:50:56.687Z</dcterms:modified>
</cp:coreProperties>
</file>

<file path=docProps/custom.xml><?xml version="1.0" encoding="utf-8"?>
<Properties xmlns="http://schemas.openxmlformats.org/officeDocument/2006/custom-properties" xmlns:vt="http://schemas.openxmlformats.org/officeDocument/2006/docPropsVTypes"/>
</file>