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Services – Brauerei Projekt</w:t>
      </w:r>
    </w:p>
    <w:p>
      <w:r>
        <w:t>FH CAMPUS 02 | 3. Semester | WS 26/27</w:t>
      </w:r>
    </w:p>
    <w:p/>
    <w:p>
      <w:pPr>
        <w:pStyle w:val="Heading1"/>
      </w:pPr>
      <w:r>
        <w:t>Aufgabe 1 – Domain Driven Design (10 Punkte)</w:t>
      </w:r>
    </w:p>
    <w:p>
      <w:pPr>
        <w:pStyle w:val="Heading2"/>
      </w:pPr>
      <w:r>
        <w:t>Die 3 Bounded Contexts</w:t>
      </w:r>
    </w:p>
    <w:p>
      <w:r>
        <w:t>Ein Bounded Context definiert die klare Grenze eines Microservices – was fachlich dazugehört und was nicht. In unserem Brauerei-Projekt haben wir drei Bounded Contexts definiert:</w:t>
      </w:r>
    </w:p>
    <w:p>
      <w:pPr>
        <w:pStyle w:val="Heading3"/>
      </w:pPr>
      <w:r>
        <w:t>1. Brauproduktion</w:t>
      </w:r>
    </w:p>
    <w:p>
      <w:r>
        <w:t>Zuständig für: Rezepte verwalten, Brauvorgänge starten und verfolgen.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DDD-Konzept</w:t>
            </w:r>
          </w:p>
        </w:tc>
        <w:tc>
          <w:tcPr>
            <w:tcW w:type="dxa" w:w="2880"/>
          </w:tcPr>
          <w:p>
            <w:r>
              <w:t>Objekt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Brauvorgang</w:t>
            </w:r>
          </w:p>
        </w:tc>
        <w:tc>
          <w:tcPr>
            <w:tcW w:type="dxa" w:w="2880"/>
          </w:tcPr>
          <w:p>
            <w:r>
              <w:t>Hat eine ID, ist eindeutig identifizierbar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Rezept</w:t>
            </w:r>
          </w:p>
        </w:tc>
        <w:tc>
          <w:tcPr>
            <w:tcW w:type="dxa" w:w="2880"/>
          </w:tcPr>
          <w:p>
            <w:r>
              <w:t>Vorlage für einen Brauvorgang</w:t>
            </w:r>
          </w:p>
        </w:tc>
      </w:tr>
      <w:tr>
        <w:tc>
          <w:tcPr>
            <w:tcW w:type="dxa" w:w="2880"/>
          </w:tcPr>
          <w:p>
            <w:r>
              <w:t>Value Object</w:t>
            </w:r>
          </w:p>
        </w:tc>
        <w:tc>
          <w:tcPr>
            <w:tcW w:type="dxa" w:w="2880"/>
          </w:tcPr>
          <w:p>
            <w:r>
              <w:t>Zutat</w:t>
            </w:r>
          </w:p>
        </w:tc>
        <w:tc>
          <w:tcPr>
            <w:tcW w:type="dxa" w:w="2880"/>
          </w:tcPr>
          <w:p>
            <w:r>
              <w:t>Menge + Einheit (z.B. 5 kg Malz)</w:t>
            </w:r>
          </w:p>
        </w:tc>
      </w:tr>
      <w:tr>
        <w:tc>
          <w:tcPr>
            <w:tcW w:type="dxa" w:w="2880"/>
          </w:tcPr>
          <w:p>
            <w:r>
              <w:t>Aggregate Root</w:t>
            </w:r>
          </w:p>
        </w:tc>
        <w:tc>
          <w:tcPr>
            <w:tcW w:type="dxa" w:w="2880"/>
          </w:tcPr>
          <w:p>
            <w:r>
              <w:t>Brauvorgang</w:t>
            </w:r>
          </w:p>
        </w:tc>
        <w:tc>
          <w:tcPr>
            <w:tcW w:type="dxa" w:w="2880"/>
          </w:tcPr>
          <w:p>
            <w:r>
              <w:t>Zugriff auf Produktionsschritte nur über ihn</w:t>
            </w:r>
          </w:p>
        </w:tc>
      </w:tr>
      <w:tr>
        <w:tc>
          <w:tcPr>
            <w:tcW w:type="dxa" w:w="2880"/>
          </w:tcPr>
          <w:p>
            <w:r>
              <w:t>Domain Event</w:t>
            </w:r>
          </w:p>
        </w:tc>
        <w:tc>
          <w:tcPr>
            <w:tcW w:type="dxa" w:w="2880"/>
          </w:tcPr>
          <w:p>
            <w:r>
              <w:t>BrauvorgangAbgeschlossen</w:t>
            </w:r>
          </w:p>
        </w:tc>
        <w:tc>
          <w:tcPr>
            <w:tcW w:type="dxa" w:w="2880"/>
          </w:tcPr>
          <w:p>
            <w:r>
              <w:t>Wird gefeuert wenn fertig → Lager bekommt Bescheid</w:t>
            </w:r>
          </w:p>
        </w:tc>
      </w:tr>
    </w:tbl>
    <w:p/>
    <w:p>
      <w:pPr>
        <w:pStyle w:val="Heading3"/>
      </w:pPr>
      <w:r>
        <w:t>2. Lagerverwaltung</w:t>
      </w:r>
    </w:p>
    <w:p>
      <w:r>
        <w:t>Zuständig für: Lagerbestände von Rohstoffen und fertigen Bieren verwalten.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DDD-Konzept</w:t>
            </w:r>
          </w:p>
        </w:tc>
        <w:tc>
          <w:tcPr>
            <w:tcW w:type="dxa" w:w="2880"/>
          </w:tcPr>
          <w:p>
            <w:r>
              <w:t>Objekt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Lagerartikel</w:t>
            </w:r>
          </w:p>
        </w:tc>
        <w:tc>
          <w:tcPr>
            <w:tcW w:type="dxa" w:w="2880"/>
          </w:tcPr>
          <w:p>
            <w:r>
              <w:t>Eindeutig per ID identifizierbar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Lagerbewegung</w:t>
            </w:r>
          </w:p>
        </w:tc>
        <w:tc>
          <w:tcPr>
            <w:tcW w:type="dxa" w:w="2880"/>
          </w:tcPr>
          <w:p>
            <w:r>
              <w:t>Zu- oder Abgang mit Zeitstempel</w:t>
            </w:r>
          </w:p>
        </w:tc>
      </w:tr>
      <w:tr>
        <w:tc>
          <w:tcPr>
            <w:tcW w:type="dxa" w:w="2880"/>
          </w:tcPr>
          <w:p>
            <w:r>
              <w:t>Value Object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  <w:tc>
          <w:tcPr>
            <w:tcW w:type="dxa" w:w="2880"/>
          </w:tcPr>
          <w:p>
            <w:r>
              <w:t>Zahl + Einheit (z.B. 100 Liter)</w:t>
            </w:r>
          </w:p>
        </w:tc>
      </w:tr>
      <w:tr>
        <w:tc>
          <w:tcPr>
            <w:tcW w:type="dxa" w:w="2880"/>
          </w:tcPr>
          <w:p>
            <w:r>
              <w:t>Aggregate Root</w:t>
            </w:r>
          </w:p>
        </w:tc>
        <w:tc>
          <w:tcPr>
            <w:tcW w:type="dxa" w:w="2880"/>
          </w:tcPr>
          <w:p>
            <w:r>
              <w:t>Lagerartikel</w:t>
            </w:r>
          </w:p>
        </w:tc>
        <w:tc>
          <w:tcPr>
            <w:tcW w:type="dxa" w:w="2880"/>
          </w:tcPr>
          <w:p>
            <w:r>
              <w:t>Lagerbewegungen nur über ihn</w:t>
            </w:r>
          </w:p>
        </w:tc>
      </w:tr>
    </w:tbl>
    <w:p/>
    <w:p>
      <w:pPr>
        <w:pStyle w:val="Heading3"/>
      </w:pPr>
      <w:r>
        <w:t>3. Bestellverwaltung</w:t>
      </w:r>
    </w:p>
    <w:p>
      <w:r>
        <w:t>Zuständig für: Kundenbestellungen annehmen und verwalten.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DDD-Konzept</w:t>
            </w:r>
          </w:p>
        </w:tc>
        <w:tc>
          <w:tcPr>
            <w:tcW w:type="dxa" w:w="2880"/>
          </w:tcPr>
          <w:p>
            <w:r>
              <w:t>Objekt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Bestellung</w:t>
            </w:r>
          </w:p>
        </w:tc>
        <w:tc>
          <w:tcPr>
            <w:tcW w:type="dxa" w:w="2880"/>
          </w:tcPr>
          <w:p>
            <w:r>
              <w:t>Eindeutig per ID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Kunde</w:t>
            </w:r>
          </w:p>
        </w:tc>
        <w:tc>
          <w:tcPr>
            <w:tcW w:type="dxa" w:w="2880"/>
          </w:tcPr>
          <w:p>
            <w:r>
              <w:t>Eindeutig per ID</w:t>
            </w:r>
          </w:p>
        </w:tc>
      </w:tr>
      <w:tr>
        <w:tc>
          <w:tcPr>
            <w:tcW w:type="dxa" w:w="2880"/>
          </w:tcPr>
          <w:p>
            <w:r>
              <w:t>Value Object</w:t>
            </w:r>
          </w:p>
        </w:tc>
        <w:tc>
          <w:tcPr>
            <w:tcW w:type="dxa" w:w="2880"/>
          </w:tcPr>
          <w:p>
            <w:r>
              <w:t>Adresse</w:t>
            </w:r>
          </w:p>
        </w:tc>
        <w:tc>
          <w:tcPr>
            <w:tcW w:type="dxa" w:w="2880"/>
          </w:tcPr>
          <w:p>
            <w:r>
              <w:t>Straße, PLZ, Ort – kein eigener Identifier</w:t>
            </w:r>
          </w:p>
        </w:tc>
      </w:tr>
      <w:tr>
        <w:tc>
          <w:tcPr>
            <w:tcW w:type="dxa" w:w="2880"/>
          </w:tcPr>
          <w:p>
            <w:r>
              <w:t>Value Object</w:t>
            </w:r>
          </w:p>
        </w:tc>
        <w:tc>
          <w:tcPr>
            <w:tcW w:type="dxa" w:w="2880"/>
          </w:tcPr>
          <w:p>
            <w:r>
              <w:t>Preis</w:t>
            </w:r>
          </w:p>
        </w:tc>
        <w:tc>
          <w:tcPr>
            <w:tcW w:type="dxa" w:w="2880"/>
          </w:tcPr>
          <w:p>
            <w:r>
              <w:t>Betrag + Währung</w:t>
            </w:r>
          </w:p>
        </w:tc>
      </w:tr>
      <w:tr>
        <w:tc>
          <w:tcPr>
            <w:tcW w:type="dxa" w:w="2880"/>
          </w:tcPr>
          <w:p>
            <w:r>
              <w:t>Aggregate Root</w:t>
            </w:r>
          </w:p>
        </w:tc>
        <w:tc>
          <w:tcPr>
            <w:tcW w:type="dxa" w:w="2880"/>
          </w:tcPr>
          <w:p>
            <w:r>
              <w:t>Bestellung</w:t>
            </w:r>
          </w:p>
        </w:tc>
        <w:tc>
          <w:tcPr>
            <w:tcW w:type="dxa" w:w="2880"/>
          </w:tcPr>
          <w:p>
            <w:r>
              <w:t>Bestellpositionen nur über sie</w:t>
            </w:r>
          </w:p>
        </w:tc>
      </w:tr>
    </w:tbl>
    <w:p/>
    <w:p>
      <w:pPr>
        <w:pStyle w:val="Heading2"/>
      </w:pPr>
      <w:r>
        <w:t>Context Map</w:t>
      </w:r>
    </w:p>
    <w:p>
      <w:r>
        <w:t>Die Context Map beschreibt wie die drei Services miteinander kommunizieren:</w:t>
      </w:r>
    </w:p>
    <w:p>
      <w:r>
        <w:rPr>
          <w:b/>
        </w:rPr>
        <w:t>Brauproduktion → Lagerverwaltung:</w:t>
      </w:r>
    </w:p>
    <w:p>
      <w:r>
        <w:t>Wenn ein Brauvorgang abgeschlossen ist (Domain Event: BrauvorgangAbgeschlossen), wird der Lagerbestand des fertigen Biers erhöht.</w:t>
      </w:r>
    </w:p>
    <w:p>
      <w:r>
        <w:rPr>
          <w:b/>
        </w:rPr>
        <w:t>Bestellverwaltung → Lagerverwaltung:</w:t>
      </w:r>
    </w:p>
    <w:p>
      <w:r>
        <w:t>Wenn eine Bestellung aufgegeben wird, prüft die Lagerverwaltung den Bestand und reduziert ihn entsprechend.</w:t>
      </w:r>
    </w:p>
    <w:p>
      <w:r>
        <w:rPr>
          <w:b/>
        </w:rPr>
        <w:t>Bestellverwaltung → Brauproduktion (optional):</w:t>
      </w:r>
    </w:p>
    <w:p>
      <w:r>
        <w:t>Bei Unterschreitung des Mindestbestands kann automatisch ein Produktionsauftrag ausgelöst werden.</w:t>
      </w:r>
    </w:p>
    <w:p>
      <w:pPr>
        <w:pStyle w:val="Heading2"/>
      </w:pPr>
      <w:r>
        <w:t>Datenmodell</w:t>
      </w:r>
    </w:p>
    <w:p>
      <w:pPr>
        <w:pStyle w:val="Heading3"/>
      </w:pPr>
      <w:r>
        <w:t>Brauproduktion</w:t>
      </w:r>
    </w:p>
    <w:p>
      <w:r>
        <w:t>Rezept { RezeptId, Name, Beschreibung, Zutaten[] }</w:t>
      </w:r>
    </w:p>
    <w:p>
      <w:r>
        <w:t>Brauvorgang { BrauvorgangId, RezeptId, StartDatum, Status, MengeLiter }</w:t>
      </w:r>
    </w:p>
    <w:p>
      <w:r>
        <w:t>Zutat { Name, Menge, Einheit }  ← Value Object</w:t>
      </w:r>
    </w:p>
    <w:p>
      <w:pPr>
        <w:pStyle w:val="Heading3"/>
      </w:pPr>
      <w:r>
        <w:t>Lagerverwaltung</w:t>
      </w:r>
    </w:p>
    <w:p>
      <w:r>
        <w:t>Lagerartikel { ArtikelId, Name, BestandMenge, Einheit, MinBestand }</w:t>
      </w:r>
    </w:p>
    <w:p>
      <w:r>
        <w:t>Lagerbewegung { BewegungId, ArtikelId, Menge, Typ (Eingang/Ausgang), Datum }</w:t>
      </w:r>
    </w:p>
    <w:p>
      <w:pPr>
        <w:pStyle w:val="Heading3"/>
      </w:pPr>
      <w:r>
        <w:t>Bestellverwaltung</w:t>
      </w:r>
    </w:p>
    <w:p>
      <w:r>
        <w:t>Kunde { KundeId, Name, Email, Adresse }</w:t>
      </w:r>
    </w:p>
    <w:p>
      <w:r>
        <w:t>Bestellung { BestellungId, KundeId, Datum, Status, Positionen[] }</w:t>
      </w:r>
    </w:p>
    <w:p>
      <w:r>
        <w:t>Bestellposition { ArtikelId, Menge, Preis }</w:t>
      </w:r>
    </w:p>
    <w:p>
      <w:r>
        <w:t>Adresse { Strasse, PLZ, Ort }  ← Value Object</w:t>
      </w:r>
    </w:p>
    <w:p>
      <w:pPr>
        <w:pStyle w:val="Heading2"/>
      </w:pPr>
      <w:r>
        <w:t>Datenvalidierung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Feld</w:t>
            </w:r>
          </w:p>
        </w:tc>
        <w:tc>
          <w:tcPr>
            <w:tcW w:type="dxa" w:w="2880"/>
          </w:tcPr>
          <w:p>
            <w:r>
              <w:t>Regel</w:t>
            </w:r>
          </w:p>
        </w:tc>
      </w:tr>
      <w:tr>
        <w:tc>
          <w:tcPr>
            <w:tcW w:type="dxa" w:w="2880"/>
          </w:tcPr>
          <w:p>
            <w:r>
              <w:t>Brauproduktion</w:t>
            </w:r>
          </w:p>
        </w:tc>
        <w:tc>
          <w:tcPr>
            <w:tcW w:type="dxa" w:w="2880"/>
          </w:tcPr>
          <w:p>
            <w:r>
              <w:t>MengeLiter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</w:tr>
      <w:tr>
        <w:tc>
          <w:tcPr>
            <w:tcW w:type="dxa" w:w="2880"/>
          </w:tcPr>
          <w:p>
            <w:r>
              <w:t>Brauproduktion</w:t>
            </w:r>
          </w:p>
        </w:tc>
        <w:tc>
          <w:tcPr>
            <w:tcW w:type="dxa" w:w="2880"/>
          </w:tcPr>
          <w:p>
            <w:r>
              <w:t>RezeptId</w:t>
            </w:r>
          </w:p>
        </w:tc>
        <w:tc>
          <w:tcPr>
            <w:tcW w:type="dxa" w:w="2880"/>
          </w:tcPr>
          <w:p>
            <w:r>
              <w:t>Muss existieren</w:t>
            </w:r>
          </w:p>
        </w:tc>
      </w:tr>
      <w:tr>
        <w:tc>
          <w:tcPr>
            <w:tcW w:type="dxa" w:w="2880"/>
          </w:tcPr>
          <w:p>
            <w:r>
              <w:t>Lagerverwaltung</w:t>
            </w:r>
          </w:p>
        </w:tc>
        <w:tc>
          <w:tcPr>
            <w:tcW w:type="dxa" w:w="2880"/>
          </w:tcPr>
          <w:p>
            <w:r>
              <w:t>BestandMenge</w:t>
            </w:r>
          </w:p>
        </w:tc>
        <w:tc>
          <w:tcPr>
            <w:tcW w:type="dxa" w:w="2880"/>
          </w:tcPr>
          <w:p>
            <w:r>
              <w:t>&gt;= 0 (nie negativ)</w:t>
            </w:r>
          </w:p>
        </w:tc>
      </w:tr>
      <w:tr>
        <w:tc>
          <w:tcPr>
            <w:tcW w:type="dxa" w:w="2880"/>
          </w:tcPr>
          <w:p>
            <w:r>
              <w:t>Lagerverwaltung</w:t>
            </w:r>
          </w:p>
        </w:tc>
        <w:tc>
          <w:tcPr>
            <w:tcW w:type="dxa" w:w="2880"/>
          </w:tcPr>
          <w:p>
            <w:r>
              <w:t>MinBestand</w:t>
            </w:r>
          </w:p>
        </w:tc>
        <w:tc>
          <w:tcPr>
            <w:tcW w:type="dxa" w:w="2880"/>
          </w:tcPr>
          <w:p>
            <w:r>
              <w:t>&gt;= 0</w:t>
            </w:r>
          </w:p>
        </w:tc>
      </w:tr>
      <w:tr>
        <w:tc>
          <w:tcPr>
            <w:tcW w:type="dxa" w:w="2880"/>
          </w:tcPr>
          <w:p>
            <w:r>
              <w:t>Bestellverwaltung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Gültiges Format</w:t>
            </w:r>
          </w:p>
        </w:tc>
      </w:tr>
      <w:tr>
        <w:tc>
          <w:tcPr>
            <w:tcW w:type="dxa" w:w="2880"/>
          </w:tcPr>
          <w:p>
            <w:r>
              <w:t>Bestellverwaltung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</w:tr>
      <w:tr>
        <w:tc>
          <w:tcPr>
            <w:tcW w:type="dxa" w:w="2880"/>
          </w:tcPr>
          <w:p>
            <w:r>
              <w:t>Bestellverwaltung</w:t>
            </w:r>
          </w:p>
        </w:tc>
        <w:tc>
          <w:tcPr>
            <w:tcW w:type="dxa" w:w="2880"/>
          </w:tcPr>
          <w:p>
            <w:r>
              <w:t>Preis</w:t>
            </w:r>
          </w:p>
        </w:tc>
        <w:tc>
          <w:tcPr>
            <w:tcW w:type="dxa" w:w="2880"/>
          </w:tcPr>
          <w:p>
            <w:r>
              <w:t>&gt;= 0</w:t>
            </w:r>
          </w:p>
        </w:tc>
      </w:tr>
    </w:tbl>
    <w:p>
      <w:pPr>
        <w:pStyle w:val="Heading1"/>
      </w:pPr>
      <w:r>
        <w:t>Aufgabe 6 – Routing (10 Punkte)</w:t>
      </w:r>
    </w:p>
    <w:p>
      <w:pPr>
        <w:pStyle w:val="Heading2"/>
      </w:pPr>
      <w:r>
        <w:t>Was ist Routing?</w:t>
      </w:r>
    </w:p>
    <w:p>
      <w:r>
        <w:t>Routing ist der Mechanismus, der eine eingehende HTTP-Anfrage (URL) an die richtige Controller-Action weiterleitet. Wenn jemand GET /api/bestellungen/5 aufruft, entscheidet das Routing-System welcher Controller und welche Methode aufgerufen wird.</w:t>
      </w:r>
    </w:p>
    <w:p>
      <w:pPr>
        <w:pStyle w:val="Heading2"/>
      </w:pPr>
      <w:r>
        <w:t>ASP.NET Core Standard-Routing</w:t>
      </w:r>
    </w:p>
    <w:p>
      <w:r>
        <w:t>Der Standard sieht so aus:</w:t>
      </w:r>
    </w:p>
    <w:p>
      <w:r>
        <w:t>/api/[controller]/[id]</w:t>
      </w:r>
    </w:p>
    <w:p>
      <w:r>
        <w:t>Beispiele:</w:t>
      </w:r>
    </w:p>
    <w:p>
      <w:r>
        <w:rPr>
          <w:b/>
        </w:rPr>
        <w:t>GET  /api/bestellungen</w:t>
      </w:r>
      <w:r>
        <w:t xml:space="preserve">        → alle Bestellungen</w:t>
      </w:r>
    </w:p>
    <w:p>
      <w:r>
        <w:rPr>
          <w:b/>
        </w:rPr>
        <w:t>GET  /api/bestellungen/5</w:t>
      </w:r>
      <w:r>
        <w:t xml:space="preserve">     → Bestellung mit ID 5</w:t>
      </w:r>
    </w:p>
    <w:p>
      <w:r>
        <w:rPr>
          <w:b/>
        </w:rPr>
        <w:t>POST /api/bestellungen</w:t>
      </w:r>
      <w:r>
        <w:t xml:space="preserve">       → neue Bestellung anlegen</w:t>
      </w:r>
    </w:p>
    <w:p>
      <w:r>
        <w:rPr>
          <w:b/>
        </w:rPr>
        <w:t>PUT  /api/bestellungen/5</w:t>
      </w:r>
      <w:r>
        <w:t xml:space="preserve">     → Bestellung 5 updaten</w:t>
      </w:r>
    </w:p>
    <w:p>
      <w:r>
        <w:rPr>
          <w:b/>
        </w:rPr>
        <w:t>DELETE /api/bestellungen/5</w:t>
      </w:r>
      <w:r>
        <w:t xml:space="preserve">   → Bestellung 5 löschen</w:t>
      </w:r>
    </w:p>
    <w:p/>
    <w:p>
      <w:r>
        <w:t>Im Code sieht das so aus:</w:t>
      </w:r>
    </w:p>
    <w:p>
      <w:pPr>
        <w:pStyle w:val="NoSpacing"/>
      </w:pPr>
      <w:r>
        <w:t>[Route("api/[controller]")]</w:t>
        <w:br/>
        <w:t>[ApiController]</w:t>
        <w:br/>
        <w:t>public class BestellungenController : ControllerBase</w:t>
        <w:br/>
        <w:t>{</w:t>
        <w:br/>
        <w:t xml:space="preserve">    [HttpGet]</w:t>
        <w:br/>
        <w:t xml:space="preserve">    public IActionResult GetAll() { ... }</w:t>
        <w:br/>
        <w:br/>
        <w:t xml:space="preserve">    [HttpGet("{id}")]</w:t>
        <w:br/>
        <w:t xml:space="preserve">    public IActionResult GetById(int id) { ... }</w:t>
        <w:br/>
        <w:t>}</w:t>
      </w:r>
    </w:p>
    <w:p>
      <w:pPr>
        <w:pStyle w:val="Heading2"/>
      </w:pPr>
      <w:r>
        <w:t>Custom Route (nicht Standard)</w:t>
      </w:r>
    </w:p>
    <w:p>
      <w:r>
        <w:t>Unsere Custom Route weicht in zwei Punkten vom Standard ab:</w:t>
      </w:r>
    </w:p>
    <w:p>
      <w:r>
        <w:rPr>
          <w:b/>
        </w:rPr>
        <w:t>1. Kein /api/ Präfix:</w:t>
      </w:r>
    </w:p>
    <w:p>
      <w:r>
        <w:t>Standard:  /api/bestellungen</w:t>
      </w:r>
    </w:p>
    <w:p>
      <w:r>
        <w:t>Custom:    /brauerei/v1/bestellungen</w:t>
      </w:r>
    </w:p>
    <w:p>
      <w:r>
        <w:t>Statt dem generischen "api" verwenden wir einen eigenen Pfad mit fachlichem Kontext und Versionsnummer.</w:t>
      </w:r>
    </w:p>
    <w:p>
      <w:r>
        <w:rPr>
          <w:b/>
        </w:rPr>
        <w:t>2. Aktions-Routen im Pfad:</w:t>
      </w:r>
    </w:p>
    <w:p>
      <w:r>
        <w:t>Standard:  POST /api/bestellungen</w:t>
      </w:r>
    </w:p>
    <w:p>
      <w:r>
        <w:t>Custom:    POST /brauerei/v1/bestellungen/aufgeben</w:t>
      </w:r>
    </w:p>
    <w:p>
      <w:r>
        <w:t>Im Standard erkennst du die Aktion nur am HTTP-Verb (GET/POST/PUT/DELETE). Bei der Custom Route steht die Aktion zusätzlich im Pfad selbst.</w:t>
      </w:r>
    </w:p>
    <w:p>
      <w:pPr>
        <w:pStyle w:val="Heading2"/>
      </w:pPr>
      <w:r>
        <w:t>Code – Custom Route im Projekt</w:t>
      </w:r>
    </w:p>
    <w:p>
      <w:pPr>
        <w:pStyle w:val="NoSpacing"/>
      </w:pPr>
      <w:r>
        <w:t>[Route("brauerei/v1/bestellungen")]</w:t>
        <w:br/>
        <w:t>[ApiController]</w:t>
        <w:br/>
        <w:t>public class BestellungenController : ControllerBase</w:t>
        <w:br/>
        <w:t>{</w:t>
        <w:br/>
        <w:t xml:space="preserve">    // GET /brauerei/v1/bestellungen</w:t>
        <w:br/>
        <w:t xml:space="preserve">    [HttpGet]</w:t>
        <w:br/>
        <w:t xml:space="preserve">    public IActionResult GetAll() { ... }</w:t>
        <w:br/>
        <w:br/>
        <w:t xml:space="preserve">    // GET /brauerei/v1/bestellungen/kunde/42</w:t>
        <w:br/>
        <w:t xml:space="preserve">    [HttpGet("kunde/{kundeId}")]</w:t>
        <w:br/>
        <w:t xml:space="preserve">    public IActionResult GetByKunde(int kundeId) { ... }</w:t>
        <w:br/>
        <w:br/>
        <w:t xml:space="preserve">    // POST /brauerei/v1/bestellungen/aufgeben</w:t>
        <w:br/>
        <w:t xml:space="preserve">    [HttpPost("aufgeben")]</w:t>
        <w:br/>
        <w:t xml:space="preserve">    public IActionResult BestellungAufgeben([FromBody] Bestellung bestellung) { ... }</w:t>
        <w:br/>
        <w:br/>
        <w:t xml:space="preserve">    // GET /brauerei/v1/bestellungen/5/status</w:t>
        <w:br/>
        <w:t xml:space="preserve">    [HttpGet("{id}/status")]</w:t>
        <w:br/>
        <w:t xml:space="preserve">    public IActionResult GetStatus(int id) { ... }</w:t>
        <w:br/>
        <w:t>}</w:t>
      </w:r>
    </w:p>
    <w:p>
      <w:pPr>
        <w:pStyle w:val="Heading2"/>
      </w:pPr>
      <w:r>
        <w:t>Warum Custom Routes?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Grund</w:t>
            </w:r>
          </w:p>
        </w:tc>
        <w:tc>
          <w:tcPr>
            <w:tcW w:type="dxa" w:w="4320"/>
          </w:tcPr>
          <w:p>
            <w:r>
              <w:t>Beispiel</w:t>
            </w:r>
          </w:p>
        </w:tc>
      </w:tr>
      <w:tr>
        <w:tc>
          <w:tcPr>
            <w:tcW w:type="dxa" w:w="4320"/>
          </w:tcPr>
          <w:p>
            <w:r>
              <w:t>Versionierung</w:t>
            </w:r>
          </w:p>
        </w:tc>
        <w:tc>
          <w:tcPr>
            <w:tcW w:type="dxa" w:w="4320"/>
          </w:tcPr>
          <w:p>
            <w:r>
              <w:t>/v1/, /v2/ – alte Clients bleiben kompatibel</w:t>
            </w:r>
          </w:p>
        </w:tc>
      </w:tr>
      <w:tr>
        <w:tc>
          <w:tcPr>
            <w:tcW w:type="dxa" w:w="4320"/>
          </w:tcPr>
          <w:p>
            <w:r>
              <w:t>Lesbarkeit</w:t>
            </w:r>
          </w:p>
        </w:tc>
        <w:tc>
          <w:tcPr>
            <w:tcW w:type="dxa" w:w="4320"/>
          </w:tcPr>
          <w:p>
            <w:r>
              <w:t>/bestellungen/aufgeben statt nur POST /bestellungen</w:t>
            </w:r>
          </w:p>
        </w:tc>
      </w:tr>
      <w:tr>
        <w:tc>
          <w:tcPr>
            <w:tcW w:type="dxa" w:w="4320"/>
          </w:tcPr>
          <w:p>
            <w:r>
              <w:t>Fachliche Sprache</w:t>
            </w:r>
          </w:p>
        </w:tc>
        <w:tc>
          <w:tcPr>
            <w:tcW w:type="dxa" w:w="4320"/>
          </w:tcPr>
          <w:p>
            <w:r>
              <w:t>/brauerei/... macht den Kontext klar</w:t>
            </w:r>
          </w:p>
        </w:tc>
      </w:tr>
      <w:tr>
        <w:tc>
          <w:tcPr>
            <w:tcW w:type="dxa" w:w="4320"/>
          </w:tcPr>
          <w:p>
            <w:r>
              <w:t>Spezifische Abfragen</w:t>
            </w:r>
          </w:p>
        </w:tc>
        <w:tc>
          <w:tcPr>
            <w:tcW w:type="dxa" w:w="4320"/>
          </w:tcPr>
          <w:p>
            <w:r>
              <w:t>/bestellungen/kunde/42 statt Query-Parameter</w:t>
            </w:r>
          </w:p>
        </w:tc>
      </w:tr>
    </w:tbl>
    <w:p/>
    <w:p>
      <w:r>
        <w:t>Der technische Unterschied: Die Standard-Route funktioniert automatisch durch die ASP.NET Core Konvention. Die Custom Route existiert nur, weil wir sie explizit definiert haben – ohne unsere Definition würde ASP.NET Core mit 404 Not Found antworten.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