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line="312"/>
      </w:pPr>
      <w:r>
        <w:rPr>
          <w:b/>
          <w:bCs/>
          <w:color w:val="2E74B5"/>
          <w:sz w:val="19"/>
          <w:szCs w:val="19"/>
          <w:rFonts w:ascii="Arial" w:hAnsi="Arial" w:eastAsia="Microsoft YaHei"/>
        </w:rPr>
        <w:t xml:space="preserve">PRODUCT REQUIREMENTS DOCUMENT · 产品需求文档</w:t>
      </w:r>
    </w:p>
    <w:p>
      <w:pPr>
        <w:spacing w:before="60" w:after="60" w:line="560" w:lineRule="atLeast"/>
      </w:pPr>
      <w:r>
        <w:rPr>
          <w:b/>
          <w:bCs/>
          <w:color w:val="17324D"/>
          <w:sz w:val="46"/>
          <w:szCs w:val="46"/>
          <w:rFonts w:ascii="Arial" w:hAnsi="Arial" w:eastAsia="Microsoft YaHei"/>
        </w:rPr>
        <w:t xml:space="preserve">KOI Recall Consumer Email Trigger PRD</w:t>
      </w:r>
    </w:p>
    <w:p>
      <w:pPr>
        <w:spacing w:after="120" w:line="400" w:lineRule="atLeast"/>
      </w:pPr>
      <w:r>
        <w:rPr>
          <w:b/>
          <w:bCs/>
          <w:color w:val="17324D"/>
          <w:sz w:val="30"/>
          <w:szCs w:val="30"/>
          <w:rFonts w:ascii="Arial" w:hAnsi="Arial" w:eastAsia="Microsoft YaHei"/>
        </w:rPr>
        <w:t xml:space="preserve">KOI 召回 消费者邮件触发 PRD</w:t>
      </w:r>
    </w:p>
    <w:p>
      <w:pPr>
        <w:spacing w:after="20" w:line="312"/>
      </w:pPr>
      <w:r>
        <w:rPr>
          <w:i/>
          <w:iCs/>
          <w:color w:val="667085"/>
          <w:sz w:val="24"/>
          <w:szCs w:val="24"/>
          <w:rFonts w:ascii="Arial" w:hAnsi="Arial" w:eastAsia="Microsoft YaHei"/>
        </w:rPr>
        <w:t xml:space="preserve">Defines when consumers receive transactional email, what business event creates each message, and how delivery is accepted.</w:t>
      </w:r>
    </w:p>
    <w:p>
      <w:pPr>
        <w:spacing w:after="200" w:line="312"/>
      </w:pPr>
      <w:r>
        <w:rPr>
          <w:color w:val="667085"/>
          <w:sz w:val="21"/>
          <w:szCs w:val="21"/>
          <w:rFonts w:ascii="Arial" w:hAnsi="Arial" w:eastAsia="Microsoft YaHei"/>
        </w:rPr>
        <w:t xml:space="preserve">定义消费者何时收到事务性邮件、每封邮件由哪个业务事件触发，以及投递结果如何被确认。</w:t>
      </w:r>
    </w:p>
    <w:tbl>
      <w:tblPr>
        <w:tblW w:type="pct" w:w="100%"/>
        <w:tblBorders>
          <w:top w:val="single" w:color="D0D7DE" w:sz="2"/>
          <w:left w:val="single" w:color="2E74B5" w:sz="12"/>
          <w:bottom w:val="single" w:color="D0D7DE" w:sz="2"/>
          <w:right w:val="single" w:color="D0D7DE" w:sz="2"/>
          <w:insideH w:val="none"/>
          <w:insideV w:val="none"/>
        </w:tblBorders>
      </w:tblPr>
      <w:tblGrid>
        <w:gridCol w:w="9360"/>
      </w:tblGrid>
      <w:tr>
        <w:trPr>
          <w:cantSplit/>
        </w:trPr>
        <w:tc>
          <w:tcPr>
            <w:tcW w:type="pct" w:w="100%"/>
            <w:shd w:fill="F8FAFC" w:val="clear"/>
            <w:tcMar>
              <w:top w:type="dxa" w:w="100"/>
              <w:left w:type="dxa" w:w="160"/>
              <w:bottom w:type="dxa" w:w="100"/>
              <w:right w:type="dxa" w:w="160"/>
            </w:tcMar>
          </w:tcPr>
          <w:p>
            <w:pPr>
              <w:spacing w:after="40" w:line="312"/>
            </w:pPr>
            <w:r>
              <w:rPr>
                <w:color w:val="1F2937"/>
                <w:sz w:val="18"/>
                <w:szCs w:val="18"/>
                <w:rFonts w:ascii="Arial" w:hAnsi="Arial" w:eastAsia="Microsoft YaHei"/>
              </w:rPr>
              <w:t xml:space="preserve">About this bilingual edition. </w:t>
            </w:r>
            <w:r>
              <w:rPr>
                <w:color w:val="667085"/>
                <w:sz w:val="17"/>
                <w:szCs w:val="17"/>
                <w:rFonts w:ascii="Arial" w:hAnsi="Arial" w:eastAsia="Microsoft YaHei"/>
              </w:rPr>
              <w:t xml:space="preserve">　关于本双语版。</w:t>
            </w:r>
          </w:p>
          <w:p>
            <w:pPr>
              <w:spacing w:after="0" w:line="312"/>
            </w:pPr>
            <w:r>
              <w:rPr>
                <w:color w:val="1F2937"/>
                <w:sz w:val="18"/>
                <w:szCs w:val="18"/>
                <w:rFonts w:ascii="Arial" w:hAnsi="Arial" w:eastAsia="Microsoft YaHei"/>
              </w:rPr>
              <w:t xml:space="preserve">The English text is the authoritative original; the Chinese rendering is a reference translation provided for review convenience. Where the two differ, the English text governs.</w:t>
            </w:r>
            <w:r>
              <w:rPr>
                <w:color w:val="667085"/>
                <w:sz w:val="17"/>
                <w:szCs w:val="17"/>
                <w:rFonts w:ascii="Arial" w:hAnsi="Arial" w:eastAsia="Microsoft YaHei"/>
              </w:rPr>
              <w:t xml:space="preserve">　英文为权威原文，中文为便于评审提供的参考译文；如两版有出入，以英文为准。</w:t>
            </w:r>
          </w:p>
        </w:tc>
      </w:tr>
    </w:tbl>
    <w:p>
      <w:pPr>
        <w:spacing w:after="100" w:line="240"/>
      </w:pP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2246"/>
        <w:gridCol w:w="7114"/>
      </w:tblGrid>
      <w:tr>
        <w:trPr>
          <w:cantSplit/>
        </w:trPr>
        <w:tc>
          <w:tcPr>
            <w:tcW w:type="pct" w:w="24%"/>
            <w:shd w:fill="F2F4F7" w:val="clear"/>
            <w:tcMar>
              <w:top w:type="dxa" w:w="70"/>
              <w:left w:type="dxa" w:w="110"/>
              <w:bottom w:type="dxa" w:w="70"/>
              <w:right w:type="dxa" w:w="110"/>
            </w:tcMar>
          </w:tcPr>
          <w:p>
            <w:pPr>
              <w:keepNext/>
              <w:spacing w:after="16" w:line="276"/>
            </w:pPr>
            <w:r>
              <w:rPr>
                <w:b/>
                <w:bCs/>
                <w:color w:val="1F2937"/>
                <w:sz w:val="18"/>
                <w:szCs w:val="18"/>
                <w:rFonts w:ascii="Arial" w:hAnsi="Arial" w:eastAsia="Microsoft YaHei"/>
              </w:rPr>
              <w:t xml:space="preserve">Document type</w:t>
            </w:r>
          </w:p>
          <w:p>
            <w:pPr>
              <w:keepNext/>
              <w:spacing w:after="0" w:line="276"/>
            </w:pPr>
            <w:r>
              <w:rPr>
                <w:color w:val="667085"/>
                <w:sz w:val="16"/>
                <w:szCs w:val="16"/>
                <w:rFonts w:ascii="Arial" w:hAnsi="Arial" w:eastAsia="Microsoft YaHei"/>
              </w:rPr>
              <w:t xml:space="preserve">文档类型</w:t>
            </w:r>
          </w:p>
        </w:tc>
        <w:tc>
          <w:tcPr>
            <w:tcW w:type="pct" w:w="76%"/>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PRD / workflow specification</w:t>
            </w:r>
          </w:p>
          <w:p>
            <w:pPr>
              <w:keepNext/>
              <w:spacing w:after="0" w:line="276"/>
            </w:pPr>
            <w:r>
              <w:rPr>
                <w:color w:val="667085"/>
                <w:sz w:val="16"/>
                <w:szCs w:val="16"/>
                <w:rFonts w:ascii="Arial" w:hAnsi="Arial" w:eastAsia="Microsoft YaHei"/>
              </w:rPr>
              <w:t xml:space="preserve">PRD／工作流规范</w:t>
            </w:r>
          </w:p>
        </w:tc>
      </w:tr>
      <w:tr>
        <w:trPr>
          <w:cantSplit/>
        </w:trPr>
        <w:tc>
          <w:tcPr>
            <w:tcW w:type="pct" w:w="24%"/>
            <w:shd w:fill="F2F4F7" w:val="clear"/>
            <w:tcMar>
              <w:top w:type="dxa" w:w="70"/>
              <w:left w:type="dxa" w:w="110"/>
              <w:bottom w:type="dxa" w:w="70"/>
              <w:right w:type="dxa" w:w="110"/>
            </w:tcMar>
          </w:tcPr>
          <w:p>
            <w:pPr>
              <w:keepNext/>
              <w:spacing w:after="16" w:line="276"/>
            </w:pPr>
            <w:r>
              <w:rPr>
                <w:b/>
                <w:bCs/>
                <w:color w:val="1F2937"/>
                <w:sz w:val="18"/>
                <w:szCs w:val="18"/>
                <w:rFonts w:ascii="Arial" w:hAnsi="Arial" w:eastAsia="Microsoft YaHei"/>
              </w:rPr>
              <w:t xml:space="preserve">Version</w:t>
            </w:r>
          </w:p>
          <w:p>
            <w:pPr>
              <w:keepNext/>
              <w:spacing w:after="0" w:line="276"/>
            </w:pPr>
            <w:r>
              <w:rPr>
                <w:color w:val="667085"/>
                <w:sz w:val="16"/>
                <w:szCs w:val="16"/>
                <w:rFonts w:ascii="Arial" w:hAnsi="Arial" w:eastAsia="Microsoft YaHei"/>
              </w:rPr>
              <w:t xml:space="preserve">版本</w:t>
            </w:r>
          </w:p>
        </w:tc>
        <w:tc>
          <w:tcPr>
            <w:tcW w:type="pct" w:w="76%"/>
            <w:tcMar>
              <w:top w:type="dxa" w:w="70"/>
              <w:left w:type="dxa" w:w="110"/>
              <w:bottom w:type="dxa" w:w="70"/>
              <w:right w:type="dxa" w:w="110"/>
            </w:tcMar>
          </w:tcPr>
          <w:p>
            <w:pPr>
              <w:keepNext/>
              <w:spacing w:after="0" w:line="276"/>
            </w:pPr>
            <w:r>
              <w:rPr>
                <w:b w:val="false"/>
                <w:bCs w:val="false"/>
                <w:color w:val="1F2937"/>
                <w:sz w:val="18"/>
                <w:szCs w:val="18"/>
                <w:rFonts w:ascii="Arial" w:hAnsi="Arial" w:eastAsia="Microsoft YaHei"/>
              </w:rPr>
              <w:t xml:space="preserve">v1.0</w:t>
            </w:r>
          </w:p>
        </w:tc>
      </w:tr>
      <w:tr>
        <w:trPr>
          <w:cantSplit/>
        </w:trPr>
        <w:tc>
          <w:tcPr>
            <w:tcW w:type="pct" w:w="24%"/>
            <w:shd w:fill="F2F4F7" w:val="clear"/>
            <w:tcMar>
              <w:top w:type="dxa" w:w="70"/>
              <w:left w:type="dxa" w:w="110"/>
              <w:bottom w:type="dxa" w:w="70"/>
              <w:right w:type="dxa" w:w="110"/>
            </w:tcMar>
          </w:tcPr>
          <w:p>
            <w:pPr>
              <w:keepNext/>
              <w:spacing w:after="16" w:line="276"/>
            </w:pPr>
            <w:r>
              <w:rPr>
                <w:b/>
                <w:bCs/>
                <w:color w:val="1F2937"/>
                <w:sz w:val="18"/>
                <w:szCs w:val="18"/>
                <w:rFonts w:ascii="Arial" w:hAnsi="Arial" w:eastAsia="Microsoft YaHei"/>
              </w:rPr>
              <w:t xml:space="preserve">Date</w:t>
            </w:r>
          </w:p>
          <w:p>
            <w:pPr>
              <w:keepNext/>
              <w:spacing w:after="0" w:line="276"/>
            </w:pPr>
            <w:r>
              <w:rPr>
                <w:color w:val="667085"/>
                <w:sz w:val="16"/>
                <w:szCs w:val="16"/>
                <w:rFonts w:ascii="Arial" w:hAnsi="Arial" w:eastAsia="Microsoft YaHei"/>
              </w:rPr>
              <w:t xml:space="preserve">日期</w:t>
            </w:r>
          </w:p>
        </w:tc>
        <w:tc>
          <w:tcPr>
            <w:tcW w:type="pct" w:w="76%"/>
            <w:tcMar>
              <w:top w:type="dxa" w:w="70"/>
              <w:left w:type="dxa" w:w="110"/>
              <w:bottom w:type="dxa" w:w="70"/>
              <w:right w:type="dxa" w:w="110"/>
            </w:tcMar>
          </w:tcPr>
          <w:p>
            <w:pPr>
              <w:keepNext/>
              <w:spacing w:after="0" w:line="276"/>
            </w:pPr>
            <w:r>
              <w:rPr>
                <w:b w:val="false"/>
                <w:bCs w:val="false"/>
                <w:color w:val="1F2937"/>
                <w:sz w:val="18"/>
                <w:szCs w:val="18"/>
                <w:rFonts w:ascii="Arial" w:hAnsi="Arial" w:eastAsia="Microsoft YaHei"/>
              </w:rPr>
              <w:t xml:space="preserve">2026-09-01</w:t>
            </w:r>
          </w:p>
        </w:tc>
      </w:tr>
      <w:tr>
        <w:trPr>
          <w:cantSplit/>
        </w:trPr>
        <w:tc>
          <w:tcPr>
            <w:tcW w:type="pct" w:w="24%"/>
            <w:shd w:fill="F2F4F7" w:val="clear"/>
            <w:tcMar>
              <w:top w:type="dxa" w:w="70"/>
              <w:left w:type="dxa" w:w="110"/>
              <w:bottom w:type="dxa" w:w="70"/>
              <w:right w:type="dxa" w:w="110"/>
            </w:tcMar>
          </w:tcPr>
          <w:p>
            <w:pPr>
              <w:keepNext/>
              <w:spacing w:after="16" w:line="276"/>
            </w:pPr>
            <w:r>
              <w:rPr>
                <w:b/>
                <w:bCs/>
                <w:color w:val="1F2937"/>
                <w:sz w:val="18"/>
                <w:szCs w:val="18"/>
                <w:rFonts w:ascii="Arial" w:hAnsi="Arial" w:eastAsia="Microsoft YaHei"/>
              </w:rPr>
              <w:t xml:space="preserve">Status</w:t>
            </w:r>
          </w:p>
          <w:p>
            <w:pPr>
              <w:keepNext/>
              <w:spacing w:after="0" w:line="276"/>
            </w:pPr>
            <w:r>
              <w:rPr>
                <w:color w:val="667085"/>
                <w:sz w:val="16"/>
                <w:szCs w:val="16"/>
                <w:rFonts w:ascii="Arial" w:hAnsi="Arial" w:eastAsia="Microsoft YaHei"/>
              </w:rPr>
              <w:t xml:space="preserve">状态</w:t>
            </w:r>
          </w:p>
        </w:tc>
        <w:tc>
          <w:tcPr>
            <w:tcW w:type="pct" w:w="76%"/>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Review Draft</w:t>
            </w:r>
          </w:p>
          <w:p>
            <w:pPr>
              <w:keepNext/>
              <w:spacing w:after="0" w:line="276"/>
            </w:pPr>
            <w:r>
              <w:rPr>
                <w:color w:val="667085"/>
                <w:sz w:val="16"/>
                <w:szCs w:val="16"/>
                <w:rFonts w:ascii="Arial" w:hAnsi="Arial" w:eastAsia="Microsoft YaHei"/>
              </w:rPr>
              <w:t xml:space="preserve">评审稿</w:t>
            </w:r>
          </w:p>
        </w:tc>
      </w:tr>
      <w:tr>
        <w:trPr>
          <w:cantSplit/>
        </w:trPr>
        <w:tc>
          <w:tcPr>
            <w:tcW w:type="pct" w:w="24%"/>
            <w:shd w:fill="F2F4F7" w:val="clear"/>
            <w:tcMar>
              <w:top w:type="dxa" w:w="70"/>
              <w:left w:type="dxa" w:w="110"/>
              <w:bottom w:type="dxa" w:w="70"/>
              <w:right w:type="dxa" w:w="110"/>
            </w:tcMar>
          </w:tcPr>
          <w:p>
            <w:pPr>
              <w:keepNext/>
              <w:spacing w:after="16" w:line="276"/>
            </w:pPr>
            <w:r>
              <w:rPr>
                <w:b/>
                <w:bCs/>
                <w:color w:val="1F2937"/>
                <w:sz w:val="18"/>
                <w:szCs w:val="18"/>
                <w:rFonts w:ascii="Arial" w:hAnsi="Arial" w:eastAsia="Microsoft YaHei"/>
              </w:rPr>
              <w:t xml:space="preserve">Scope</w:t>
            </w:r>
          </w:p>
          <w:p>
            <w:pPr>
              <w:keepNext/>
              <w:spacing w:after="0" w:line="276"/>
            </w:pPr>
            <w:r>
              <w:rPr>
                <w:color w:val="667085"/>
                <w:sz w:val="16"/>
                <w:szCs w:val="16"/>
                <w:rFonts w:ascii="Arial" w:hAnsi="Arial" w:eastAsia="Microsoft YaHei"/>
              </w:rPr>
              <w:t xml:space="preserve">范围</w:t>
            </w:r>
          </w:p>
        </w:tc>
        <w:tc>
          <w:tcPr>
            <w:tcW w:type="pct" w:w="76%"/>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KOI Recall consumer communications; code changes are not included</w:t>
            </w:r>
          </w:p>
          <w:p>
            <w:pPr>
              <w:keepNext/>
              <w:spacing w:after="0" w:line="276"/>
            </w:pPr>
            <w:r>
              <w:rPr>
                <w:color w:val="667085"/>
                <w:sz w:val="16"/>
                <w:szCs w:val="16"/>
                <w:rFonts w:ascii="Arial" w:hAnsi="Arial" w:eastAsia="Microsoft YaHei"/>
              </w:rPr>
              <w:t xml:space="preserve">KOI 召回消费者沟通；不包含代码变更</w:t>
            </w:r>
          </w:p>
        </w:tc>
      </w:tr>
      <w:tr>
        <w:trPr>
          <w:cantSplit/>
        </w:trPr>
        <w:tc>
          <w:tcPr>
            <w:tcW w:type="pct" w:w="24%"/>
            <w:shd w:fill="F2F4F7" w:val="clear"/>
            <w:tcMar>
              <w:top w:type="dxa" w:w="70"/>
              <w:left w:type="dxa" w:w="110"/>
              <w:bottom w:type="dxa" w:w="70"/>
              <w:right w:type="dxa" w:w="110"/>
            </w:tcMar>
          </w:tcPr>
          <w:p>
            <w:pPr>
              <w:keepNext/>
              <w:spacing w:after="16" w:line="276"/>
            </w:pPr>
            <w:r>
              <w:rPr>
                <w:b/>
                <w:bCs/>
                <w:color w:val="1F2937"/>
                <w:sz w:val="18"/>
                <w:szCs w:val="18"/>
                <w:rFonts w:ascii="Arial" w:hAnsi="Arial" w:eastAsia="Microsoft YaHei"/>
              </w:rPr>
              <w:t xml:space="preserve">Edition</w:t>
            </w:r>
          </w:p>
          <w:p>
            <w:pPr>
              <w:keepNext w:val="false"/>
              <w:spacing w:after="0" w:line="276"/>
            </w:pPr>
            <w:r>
              <w:rPr>
                <w:color w:val="667085"/>
                <w:sz w:val="16"/>
                <w:szCs w:val="16"/>
                <w:rFonts w:ascii="Arial" w:hAnsi="Arial" w:eastAsia="Microsoft YaHei"/>
              </w:rPr>
              <w:t xml:space="preserve">版本形态</w:t>
            </w:r>
          </w:p>
        </w:tc>
        <w:tc>
          <w:tcPr>
            <w:tcW w:type="pct" w:w="76%"/>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Bilingual (English–Chinese)</w:t>
            </w:r>
          </w:p>
          <w:p>
            <w:pPr>
              <w:keepNext w:val="false"/>
              <w:spacing w:after="0" w:line="276"/>
            </w:pPr>
            <w:r>
              <w:rPr>
                <w:color w:val="667085"/>
                <w:sz w:val="16"/>
                <w:szCs w:val="16"/>
                <w:rFonts w:ascii="Arial" w:hAnsi="Arial" w:eastAsia="Microsoft YaHei"/>
              </w:rPr>
              <w:t xml:space="preserve">中英双语对照</w:t>
            </w:r>
          </w:p>
        </w:tc>
      </w:tr>
    </w:tbl>
    <w:p>
      <w:pPr>
        <w:spacing w:after="160" w:line="240"/>
      </w:pPr>
    </w:p>
    <w:tbl>
      <w:tblPr>
        <w:tblW w:type="pct" w:w="100%"/>
        <w:tblBorders>
          <w:top w:val="single" w:color="D0D7DE" w:sz="2"/>
          <w:left w:val="single" w:color="2E74B5" w:sz="12"/>
          <w:bottom w:val="single" w:color="D0D7DE" w:sz="2"/>
          <w:right w:val="single" w:color="D0D7DE" w:sz="2"/>
          <w:insideH w:val="none"/>
          <w:insideV w:val="none"/>
        </w:tblBorders>
      </w:tblPr>
      <w:tblGrid>
        <w:gridCol w:w="9360"/>
      </w:tblGrid>
      <w:tr>
        <w:trPr>
          <w:cantSplit/>
        </w:trPr>
        <w:tc>
          <w:tcPr>
            <w:tcW w:type="pct" w:w="100%"/>
            <w:shd w:fill="F3F7FB" w:val="clear"/>
            <w:tcMar>
              <w:top w:type="dxa" w:w="100"/>
              <w:left w:type="dxa" w:w="160"/>
              <w:bottom w:type="dxa" w:w="100"/>
              <w:right w:type="dxa" w:w="160"/>
            </w:tcMar>
          </w:tcPr>
          <w:p>
            <w:pPr>
              <w:spacing w:after="20" w:line="312"/>
            </w:pPr>
            <w:r>
              <w:rPr>
                <w:b/>
                <w:bCs/>
                <w:color w:val="1F2937"/>
                <w:sz w:val="19"/>
                <w:szCs w:val="19"/>
                <w:rFonts w:ascii="Arial" w:hAnsi="Arial" w:eastAsia="Microsoft YaHei"/>
              </w:rPr>
              <w:t xml:space="preserve">Decision: </w:t>
            </w:r>
            <w:r>
              <w:rPr>
                <w:color w:val="1F2937"/>
                <w:sz w:val="19"/>
                <w:szCs w:val="19"/>
                <w:rFonts w:ascii="Arial" w:hAnsi="Arial" w:eastAsia="Microsoft YaHei"/>
              </w:rPr>
              <w:t xml:space="preserve">Use five consumer communication classes expanded into nine reusable templates. Do not send a separate “review started” email; update the existing public copy so it no longer promises one.</w:t>
            </w:r>
          </w:p>
          <w:p>
            <w:pPr>
              <w:spacing w:after="0" w:line="312"/>
            </w:pPr>
            <w:r>
              <w:rPr>
                <w:b/>
                <w:bCs/>
                <w:color w:val="667085"/>
                <w:sz w:val="18"/>
                <w:szCs w:val="18"/>
                <w:rFonts w:ascii="Arial" w:hAnsi="Arial" w:eastAsia="Microsoft YaHei"/>
              </w:rPr>
              <w:t xml:space="preserve">决策：</w:t>
            </w:r>
            <w:r>
              <w:rPr>
                <w:color w:val="667085"/>
                <w:sz w:val="18"/>
                <w:szCs w:val="18"/>
                <w:rFonts w:ascii="Arial" w:hAnsi="Arial" w:eastAsia="Microsoft YaHei"/>
              </w:rPr>
              <w:t xml:space="preserve">采用五类消费者沟通场景，并扩展为九个可复用模板。不单独发送“审核已开始”邮件，同时更新现有公开文案，使其不再作出此类承诺。</w:t>
            </w:r>
          </w:p>
        </w:tc>
      </w:tr>
    </w:tbl>
    <w:p>
      <w:pPr>
        <w:spacing w:after="160" w:line="240"/>
      </w:pPr>
    </w:p>
    <w:p>
      <w:pPr>
        <w:pStyle w:val="Heading1"/>
        <w:keepNext/>
        <w:spacing w:before="300" w:after="140" w:line="312"/>
      </w:pPr>
      <w:r>
        <w:rPr>
          <w:b/>
          <w:bCs/>
          <w:color w:val="2E74B5"/>
          <w:sz w:val="30"/>
          <w:szCs w:val="30"/>
          <w:rFonts w:ascii="Arial" w:hAnsi="Arial" w:eastAsia="Microsoft YaHei"/>
        </w:rPr>
        <w:t xml:space="preserve">1. Context and current gap</w:t>
      </w:r>
      <w:r>
        <w:rPr>
          <w:b/>
          <w:bCs/>
          <w:color w:val="667085"/>
          <w:sz w:val="26"/>
          <w:szCs w:val="26"/>
          <w:rFonts w:ascii="Arial" w:hAnsi="Arial" w:eastAsia="Microsoft YaHei"/>
        </w:rPr>
        <w:t xml:space="preserve">　背景与现状缺口</w:t>
      </w:r>
    </w:p>
    <w:p>
      <w:pPr>
        <w:keepNext w:val="false"/>
        <w:spacing w:after="20" w:line="312"/>
        <w:jc w:val="left"/>
      </w:pPr>
      <w:r>
        <w:rPr>
          <w:color w:val="1F2937"/>
          <w:sz w:val="19"/>
          <w:szCs w:val="19"/>
          <w:rFonts w:ascii="Arial" w:hAnsi="Arial" w:eastAsia="Microsoft YaHei"/>
        </w:rPr>
        <w:t xml:space="preserve">The current backend creates an encrypted Communication and a pending Outbox event only when a Claim is submitted successfully. Admin status transitions, Resolution approval/completion, and Case closure record domain events but do not create consumer email tasks.</w:t>
      </w:r>
    </w:p>
    <w:p>
      <w:pPr>
        <w:spacing w:after="140" w:line="312"/>
        <w:jc w:val="both"/>
      </w:pPr>
      <w:r>
        <w:rPr>
          <w:color w:val="667085"/>
          <w:sz w:val="18"/>
          <w:szCs w:val="18"/>
          <w:rFonts w:ascii="Arial" w:hAnsi="Arial" w:eastAsia="Microsoft YaHei"/>
        </w:rPr>
        <w:t xml:space="preserve">当前后端只在索赔（Claim）提交成功时，才创建一条加密的沟通记录（Communication）和一条 pending 状态的 Outbox 事件。管理端状态流转、处置方案（Resolution）的批准/完成、以及案件（Case）结案，目前只记录领域事件，不会创建消费者邮件任务。</w:t>
      </w:r>
    </w:p>
    <w:p>
      <w:pPr>
        <w:keepNext w:val="false"/>
        <w:spacing w:after="20" w:line="312"/>
        <w:jc w:val="left"/>
      </w:pPr>
      <w:r>
        <w:rPr>
          <w:color w:val="1F2937"/>
          <w:sz w:val="19"/>
          <w:szCs w:val="19"/>
          <w:rFonts w:ascii="Arial" w:hAnsi="Arial" w:eastAsia="Microsoft YaHei"/>
        </w:rPr>
        <w:t xml:space="preserve">The consumer status copy currently tells users to check email for additional-information and rejection details. This is a contract gap: the text promises messages that the implementation does not yet produce.</w:t>
      </w:r>
    </w:p>
    <w:p>
      <w:pPr>
        <w:spacing w:after="160" w:line="312"/>
        <w:jc w:val="both"/>
      </w:pPr>
      <w:r>
        <w:rPr>
          <w:color w:val="667085"/>
          <w:sz w:val="18"/>
          <w:szCs w:val="18"/>
          <w:rFonts w:ascii="Arial" w:hAnsi="Arial" w:eastAsia="Microsoft YaHei"/>
        </w:rPr>
        <w:t xml:space="preserve">消费者状态页文案目前引导用户去邮箱查收补充材料与拒绝详情。这是一个契约缺口：文案承诺了实现尚未产出的邮件。</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4680"/>
        <w:gridCol w:w="4680"/>
      </w:tblGrid>
      <w:tr>
        <w:trPr>
          <w:cantSplit/>
          <w:tblHeader/>
        </w:trPr>
        <w:tc>
          <w:tcPr>
            <w:tcW w:type="pct" w:w="50%"/>
            <w:shd w:fill="F2F4F7" w:val="clear"/>
            <w:tcMar>
              <w:top w:type="dxa" w:w="70"/>
              <w:left w:type="dxa" w:w="110"/>
              <w:bottom w:type="dxa" w:w="70"/>
              <w:right w:type="dxa" w:w="110"/>
            </w:tcMar>
          </w:tcPr>
          <w:p>
            <w:pPr>
              <w:keepNext/>
              <w:spacing w:after="10" w:line="276"/>
            </w:pPr>
            <w:r>
              <w:rPr>
                <w:b/>
                <w:bCs/>
                <w:color w:val="1F2937"/>
                <w:sz w:val="18"/>
                <w:szCs w:val="18"/>
                <w:rFonts w:ascii="Arial" w:hAnsi="Arial" w:eastAsia="Microsoft YaHei"/>
              </w:rPr>
              <w:t xml:space="preserve">Current implementation</w:t>
            </w:r>
          </w:p>
          <w:p>
            <w:pPr>
              <w:keepNext/>
              <w:spacing w:after="0" w:line="276"/>
            </w:pPr>
            <w:r>
              <w:rPr>
                <w:color w:val="667085"/>
                <w:sz w:val="16"/>
                <w:szCs w:val="16"/>
                <w:rFonts w:ascii="Arial" w:hAnsi="Arial" w:eastAsia="Microsoft YaHei"/>
              </w:rPr>
              <w:t xml:space="preserve">当前实现</w:t>
            </w:r>
          </w:p>
        </w:tc>
        <w:tc>
          <w:tcPr>
            <w:tcW w:type="pct" w:w="50%"/>
            <w:shd w:fill="F2F4F7" w:val="clear"/>
            <w:tcMar>
              <w:top w:type="dxa" w:w="70"/>
              <w:left w:type="dxa" w:w="110"/>
              <w:bottom w:type="dxa" w:w="70"/>
              <w:right w:type="dxa" w:w="110"/>
            </w:tcMar>
          </w:tcPr>
          <w:p>
            <w:pPr>
              <w:keepNext/>
              <w:spacing w:after="10" w:line="276"/>
            </w:pPr>
            <w:r>
              <w:rPr>
                <w:b/>
                <w:bCs/>
                <w:color w:val="1F2937"/>
                <w:sz w:val="18"/>
                <w:szCs w:val="18"/>
                <w:rFonts w:ascii="Arial" w:hAnsi="Arial" w:eastAsia="Microsoft YaHei"/>
              </w:rPr>
              <w:t xml:space="preserve">Target design</w:t>
            </w:r>
          </w:p>
          <w:p>
            <w:pPr>
              <w:keepNext/>
              <w:spacing w:after="0" w:line="276"/>
            </w:pPr>
            <w:r>
              <w:rPr>
                <w:color w:val="667085"/>
                <w:sz w:val="16"/>
                <w:szCs w:val="16"/>
                <w:rFonts w:ascii="Arial" w:hAnsi="Arial" w:eastAsia="Microsoft YaHei"/>
              </w:rPr>
              <w:t xml:space="preserve">目标设计</w:t>
            </w:r>
          </w:p>
        </w:tc>
      </w:tr>
      <w:tr>
        <w:trPr>
          <w:cantSplit/>
        </w:trPr>
        <w:tc>
          <w:tcPr>
            <w:tcW w:type="pct" w:w="50%"/>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Implemented: claim_confirmation is queued at Claim submission. Delivery still depends on Resend configuration and an invoked Outbox worker.</w:t>
            </w:r>
          </w:p>
          <w:p>
            <w:pPr>
              <w:keepNext w:val="false"/>
              <w:spacing w:after="0" w:line="276"/>
            </w:pPr>
            <w:r>
              <w:rPr>
                <w:color w:val="667085"/>
                <w:sz w:val="16"/>
                <w:szCs w:val="16"/>
                <w:rFonts w:ascii="Arial" w:hAnsi="Arial" w:eastAsia="Microsoft YaHei"/>
              </w:rPr>
              <w:t xml:space="preserve">已实现：索赔提交时将 claim_confirmation 入队。投递仍取决于 Resend 配置以及 Outbox worker 被调度执行。</w:t>
            </w:r>
          </w:p>
        </w:tc>
        <w:tc>
          <w:tcPr>
            <w:tcW w:type="pct" w:w="50%"/>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Required: every consumer-visible action or terminal decision creates a versioned Communication + Outbox event in the same transaction as the business change.</w:t>
            </w:r>
          </w:p>
          <w:p>
            <w:pPr>
              <w:keepNext w:val="false"/>
              <w:spacing w:after="0" w:line="276"/>
            </w:pPr>
            <w:r>
              <w:rPr>
                <w:color w:val="667085"/>
                <w:sz w:val="16"/>
                <w:szCs w:val="16"/>
                <w:rFonts w:ascii="Arial" w:hAnsi="Arial" w:eastAsia="Microsoft YaHei"/>
              </w:rPr>
              <w:t xml:space="preserve">目标：每一个消费者可见的动作或终局决定，都在与业务变更相同的事务中创建带版本的 Communication + Outbox 事件。</w:t>
            </w:r>
          </w:p>
        </w:tc>
      </w:tr>
    </w:tbl>
    <w:p>
      <w:pPr>
        <w:spacing w:after="160" w:line="240"/>
      </w:pPr>
    </w:p>
    <w:p>
      <w:pPr>
        <w:pStyle w:val="Heading1"/>
        <w:keepNext/>
        <w:spacing w:before="300" w:after="140" w:line="312"/>
      </w:pPr>
      <w:r>
        <w:rPr>
          <w:b/>
          <w:bCs/>
          <w:color w:val="2E74B5"/>
          <w:sz w:val="30"/>
          <w:szCs w:val="30"/>
          <w:rFonts w:ascii="Arial" w:hAnsi="Arial" w:eastAsia="Microsoft YaHei"/>
        </w:rPr>
        <w:t xml:space="preserve">2. Goals and non-goals</w:t>
      </w:r>
      <w:r>
        <w:rPr>
          <w:b/>
          <w:bCs/>
          <w:color w:val="667085"/>
          <w:sz w:val="26"/>
          <w:szCs w:val="26"/>
          <w:rFonts w:ascii="Arial" w:hAnsi="Arial" w:eastAsia="Microsoft YaHei"/>
        </w:rPr>
        <w:t xml:space="preserve">　目标与非目标</w:t>
      </w:r>
    </w:p>
    <w:p>
      <w:pPr>
        <w:pStyle w:val="Heading2"/>
        <w:keepNext/>
        <w:spacing w:before="220" w:after="100" w:line="312"/>
      </w:pPr>
      <w:r>
        <w:rPr>
          <w:b/>
          <w:bCs/>
          <w:color w:val="2E74B5"/>
          <w:sz w:val="25"/>
          <w:szCs w:val="25"/>
          <w:rFonts w:ascii="Arial" w:hAnsi="Arial" w:eastAsia="Microsoft YaHei"/>
        </w:rPr>
        <w:t xml:space="preserve">Goals</w:t>
      </w:r>
      <w:r>
        <w:rPr>
          <w:b/>
          <w:bCs/>
          <w:color w:val="667085"/>
          <w:sz w:val="22"/>
          <w:szCs w:val="22"/>
          <w:rFonts w:ascii="Arial" w:hAnsi="Arial" w:eastAsia="Microsoft YaHei"/>
        </w:rPr>
        <w:t xml:space="preserve">　目标</w:t>
      </w:r>
    </w:p>
    <w:p>
      <w:pPr>
        <w:pStyle w:val="ListParagraph"/>
        <w:numPr>
          <w:ilvl w:val="0"/>
          <w:numId w:val="1"/>
        </w:numPr>
        <w:spacing w:after="100" w:line="312"/>
      </w:pPr>
      <w:r>
        <w:rPr>
          <w:color w:val="1F2937"/>
          <w:sz w:val="19"/>
          <w:szCs w:val="19"/>
          <w:rFonts w:ascii="Arial" w:hAnsi="Arial" w:eastAsia="Microsoft YaHei"/>
        </w:rPr>
        <w:t xml:space="preserve">Give consumers timely, plain-language notice when they must act or when KOI makes a material decision.</w:t>
      </w:r>
      <w:r>
        <w:rPr>
          <w:color w:val="667085"/>
          <w:sz w:val="18"/>
          <w:szCs w:val="18"/>
          <w:rFonts w:ascii="Arial" w:hAnsi="Arial" w:eastAsia="Microsoft YaHei"/>
        </w:rPr>
        <w:br/>
        <w:t xml:space="preserve">当消费者需要采取行动、或 KOI 作出重大决定时，及时以平实语言通知消费者。</w:t>
      </w:r>
    </w:p>
    <w:p>
      <w:pPr>
        <w:pStyle w:val="ListParagraph"/>
        <w:numPr>
          <w:ilvl w:val="0"/>
          <w:numId w:val="1"/>
        </w:numPr>
        <w:spacing w:after="100" w:line="312"/>
      </w:pPr>
      <w:r>
        <w:rPr>
          <w:color w:val="1F2937"/>
          <w:sz w:val="19"/>
          <w:szCs w:val="19"/>
          <w:rFonts w:ascii="Arial" w:hAnsi="Arial" w:eastAsia="Microsoft YaHei"/>
        </w:rPr>
        <w:t xml:space="preserve">Keep email claims consistent with the authoritative Case and Resolution state.</w:t>
      </w:r>
      <w:r>
        <w:rPr>
          <w:color w:val="667085"/>
          <w:sz w:val="18"/>
          <w:szCs w:val="18"/>
          <w:rFonts w:ascii="Arial" w:hAnsi="Arial" w:eastAsia="Microsoft YaHei"/>
        </w:rPr>
        <w:br/>
        <w:t xml:space="preserve">保证邮件中的表述与权威的案件（Case）和处置方案（Resolution）状态一致。</w:t>
      </w:r>
    </w:p>
    <w:p>
      <w:pPr>
        <w:pStyle w:val="ListParagraph"/>
        <w:numPr>
          <w:ilvl w:val="0"/>
          <w:numId w:val="1"/>
        </w:numPr>
        <w:spacing w:after="100" w:line="312"/>
      </w:pPr>
      <w:r>
        <w:rPr>
          <w:color w:val="1F2937"/>
          <w:sz w:val="19"/>
          <w:szCs w:val="19"/>
          <w:rFonts w:ascii="Arial" w:hAnsi="Arial" w:eastAsia="Microsoft YaHei"/>
        </w:rPr>
        <w:t xml:space="preserve">Prevent duplicate messages during API retries, worker retries, and provider ambiguity.</w:t>
      </w:r>
      <w:r>
        <w:rPr>
          <w:color w:val="667085"/>
          <w:sz w:val="18"/>
          <w:szCs w:val="18"/>
          <w:rFonts w:ascii="Arial" w:hAnsi="Arial" w:eastAsia="Microsoft YaHei"/>
        </w:rPr>
        <w:br/>
        <w:t xml:space="preserve">在 API 重试、worker 重试以及供应商结果不明确的情况下，防止重复发送。</w:t>
      </w:r>
    </w:p>
    <w:p>
      <w:pPr>
        <w:pStyle w:val="ListParagraph"/>
        <w:numPr>
          <w:ilvl w:val="0"/>
          <w:numId w:val="1"/>
        </w:numPr>
        <w:spacing w:after="100" w:line="312"/>
      </w:pPr>
      <w:r>
        <w:rPr>
          <w:color w:val="1F2937"/>
          <w:sz w:val="19"/>
          <w:szCs w:val="19"/>
          <w:rFonts w:ascii="Arial" w:hAnsi="Arial" w:eastAsia="Microsoft YaHei"/>
        </w:rPr>
        <w:t xml:space="preserve">Avoid exposing incident narratives, internal notes, raw audit data, or unnecessary PII.</w:t>
      </w:r>
      <w:r>
        <w:rPr>
          <w:color w:val="667085"/>
          <w:sz w:val="18"/>
          <w:szCs w:val="18"/>
          <w:rFonts w:ascii="Arial" w:hAnsi="Arial" w:eastAsia="Microsoft YaHei"/>
        </w:rPr>
        <w:br/>
        <w:t xml:space="preserve">避免泄露事件经过描述、内部备注、原始审计数据或不必要的个人身份信息（PII）。</w:t>
      </w:r>
    </w:p>
    <w:p>
      <w:pPr>
        <w:pStyle w:val="ListParagraph"/>
        <w:numPr>
          <w:ilvl w:val="0"/>
          <w:numId w:val="1"/>
        </w:numPr>
        <w:spacing w:after="100" w:line="312"/>
      </w:pPr>
      <w:r>
        <w:rPr>
          <w:color w:val="1F2937"/>
          <w:sz w:val="19"/>
          <w:szCs w:val="19"/>
          <w:rFonts w:ascii="Arial" w:hAnsi="Arial" w:eastAsia="Microsoft YaHei"/>
        </w:rPr>
        <w:t xml:space="preserve">Make delivery status observable from queue creation through provider outcome.</w:t>
      </w:r>
      <w:r>
        <w:rPr>
          <w:color w:val="667085"/>
          <w:sz w:val="18"/>
          <w:szCs w:val="18"/>
          <w:rFonts w:ascii="Arial" w:hAnsi="Arial" w:eastAsia="Microsoft YaHei"/>
        </w:rPr>
        <w:br/>
        <w:t xml:space="preserve">让投递状态从队列创建到供应商最终结果全程可观测。</w:t>
      </w:r>
    </w:p>
    <w:p>
      <w:pPr>
        <w:pStyle w:val="Heading2"/>
        <w:keepNext/>
        <w:spacing w:before="220" w:after="100" w:line="312"/>
      </w:pPr>
      <w:r>
        <w:rPr>
          <w:b/>
          <w:bCs/>
          <w:color w:val="2E74B5"/>
          <w:sz w:val="25"/>
          <w:szCs w:val="25"/>
          <w:rFonts w:ascii="Arial" w:hAnsi="Arial" w:eastAsia="Microsoft YaHei"/>
        </w:rPr>
        <w:t xml:space="preserve">Non-goals</w:t>
      </w:r>
      <w:r>
        <w:rPr>
          <w:b/>
          <w:bCs/>
          <w:color w:val="667085"/>
          <w:sz w:val="22"/>
          <w:szCs w:val="22"/>
          <w:rFonts w:ascii="Arial" w:hAnsi="Arial" w:eastAsia="Microsoft YaHei"/>
        </w:rPr>
        <w:t xml:space="preserve">　非目标</w:t>
      </w:r>
    </w:p>
    <w:p>
      <w:pPr>
        <w:pStyle w:val="ListParagraph"/>
        <w:numPr>
          <w:ilvl w:val="0"/>
          <w:numId w:val="1"/>
        </w:numPr>
        <w:spacing w:after="100" w:line="312"/>
      </w:pPr>
      <w:r>
        <w:rPr>
          <w:color w:val="1F2937"/>
          <w:sz w:val="19"/>
          <w:szCs w:val="19"/>
          <w:rFonts w:ascii="Arial" w:hAnsi="Arial" w:eastAsia="Microsoft YaHei"/>
        </w:rPr>
        <w:t xml:space="preserve">Marketing campaigns, newsletters, promotional content, or consent-based lifecycle messaging.</w:t>
      </w:r>
      <w:r>
        <w:rPr>
          <w:color w:val="667085"/>
          <w:sz w:val="18"/>
          <w:szCs w:val="18"/>
          <w:rFonts w:ascii="Arial" w:hAnsi="Arial" w:eastAsia="Microsoft YaHei"/>
        </w:rPr>
        <w:br/>
        <w:t xml:space="preserve">营销活动、新闻通讯、促销内容或基于订阅同意的生命周期消息。</w:t>
      </w:r>
    </w:p>
    <w:p>
      <w:pPr>
        <w:pStyle w:val="ListParagraph"/>
        <w:numPr>
          <w:ilvl w:val="0"/>
          <w:numId w:val="1"/>
        </w:numPr>
        <w:spacing w:after="100" w:line="312"/>
      </w:pPr>
      <w:r>
        <w:rPr>
          <w:color w:val="1F2937"/>
          <w:sz w:val="19"/>
          <w:szCs w:val="19"/>
          <w:rFonts w:ascii="Arial" w:hAnsi="Arial" w:eastAsia="Microsoft YaHei"/>
        </w:rPr>
        <w:t xml:space="preserve">Automatic CPSC reporting or legal determinations.</w:t>
      </w:r>
      <w:r>
        <w:rPr>
          <w:color w:val="667085"/>
          <w:sz w:val="18"/>
          <w:szCs w:val="18"/>
          <w:rFonts w:ascii="Arial" w:hAnsi="Arial" w:eastAsia="Microsoft YaHei"/>
        </w:rPr>
        <w:br/>
        <w:t xml:space="preserve">自动化的 CPSC（美国消费品安全委员会）上报或法律判定。</w:t>
      </w:r>
    </w:p>
    <w:p>
      <w:pPr>
        <w:pStyle w:val="ListParagraph"/>
        <w:numPr>
          <w:ilvl w:val="0"/>
          <w:numId w:val="1"/>
        </w:numPr>
        <w:spacing w:after="100" w:line="312"/>
      </w:pPr>
      <w:r>
        <w:rPr>
          <w:color w:val="1F2937"/>
          <w:sz w:val="19"/>
          <w:szCs w:val="19"/>
          <w:rFonts w:ascii="Arial" w:hAnsi="Arial" w:eastAsia="Microsoft YaHei"/>
        </w:rPr>
        <w:t xml:space="preserve">Real-time ERP, WMS, carrier, or finance execution; email reflects only facts confirmed in KOI systems.</w:t>
      </w:r>
      <w:r>
        <w:rPr>
          <w:color w:val="667085"/>
          <w:sz w:val="18"/>
          <w:szCs w:val="18"/>
          <w:rFonts w:ascii="Arial" w:hAnsi="Arial" w:eastAsia="Microsoft YaHei"/>
        </w:rPr>
        <w:br/>
        <w:t xml:space="preserve">实时的 ERP、WMS、承运商或财务系统执行；邮件只反映 KOI 系统内已确认的事实。</w:t>
      </w:r>
    </w:p>
    <w:p>
      <w:pPr>
        <w:pStyle w:val="ListParagraph"/>
        <w:numPr>
          <w:ilvl w:val="0"/>
          <w:numId w:val="1"/>
        </w:numPr>
        <w:spacing w:after="100" w:line="312"/>
      </w:pPr>
      <w:r>
        <w:rPr>
          <w:color w:val="1F2937"/>
          <w:sz w:val="19"/>
          <w:szCs w:val="19"/>
          <w:rFonts w:ascii="Arial" w:hAnsi="Arial" w:eastAsia="Microsoft YaHei"/>
        </w:rPr>
        <w:t xml:space="preserve">Treating “sent” or “delivered to mail server” as proof that a person opened or read the message.</w:t>
      </w:r>
      <w:r>
        <w:rPr>
          <w:color w:val="667085"/>
          <w:sz w:val="18"/>
          <w:szCs w:val="18"/>
          <w:rFonts w:ascii="Arial" w:hAnsi="Arial" w:eastAsia="Microsoft YaHei"/>
        </w:rPr>
        <w:br/>
        <w:t xml:space="preserve">把“已发送”或“邮件服务器已接收”当作收件人已打开或已阅读的证明。</w:t>
      </w:r>
    </w:p>
    <w:p>
      <w:pPr>
        <w:pStyle w:val="Heading1"/>
        <w:keepNext/>
        <w:spacing w:before="300" w:after="140" w:line="312"/>
      </w:pPr>
      <w:r>
        <w:rPr>
          <w:b/>
          <w:bCs/>
          <w:color w:val="2E74B5"/>
          <w:sz w:val="30"/>
          <w:szCs w:val="30"/>
          <w:rFonts w:ascii="Arial" w:hAnsi="Arial" w:eastAsia="Microsoft YaHei"/>
        </w:rPr>
        <w:t xml:space="preserve">3. Consumer communication lifecycle</w:t>
      </w:r>
      <w:r>
        <w:rPr>
          <w:b/>
          <w:bCs/>
          <w:color w:val="667085"/>
          <w:sz w:val="26"/>
          <w:szCs w:val="26"/>
          <w:rFonts w:ascii="Arial" w:hAnsi="Arial" w:eastAsia="Microsoft YaHei"/>
        </w:rPr>
        <w:t xml:space="preserve">　消费者沟通生命周期</w:t>
      </w:r>
    </w:p>
    <w:p>
      <w:pPr>
        <w:keepNext/>
        <w:spacing w:before="60" w:after="120" w:line="24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14600"/>
                    </a:xfrm>
                    <a:prstGeom prst="rect">
                      <a:avLst/>
                    </a:prstGeom>
                  </pic:spPr>
                </pic:pic>
              </a:graphicData>
            </a:graphic>
          </wp:inline>
        </w:drawing>
      </w:r>
    </w:p>
    <w:tbl>
      <w:tblPr>
        <w:tblW w:type="pct" w:w="100%"/>
        <w:tblBorders>
          <w:top w:val="single" w:color="D0D7DE" w:sz="2"/>
          <w:left w:val="single" w:color="2E74B5" w:sz="12"/>
          <w:bottom w:val="single" w:color="D0D7DE" w:sz="2"/>
          <w:right w:val="single" w:color="D0D7DE" w:sz="2"/>
          <w:insideH w:val="none"/>
          <w:insideV w:val="none"/>
        </w:tblBorders>
      </w:tblPr>
      <w:tblGrid>
        <w:gridCol w:w="9360"/>
      </w:tblGrid>
      <w:tr>
        <w:trPr>
          <w:cantSplit/>
        </w:trPr>
        <w:tc>
          <w:tcPr>
            <w:tcW w:type="pct" w:w="100%"/>
            <w:shd w:fill="F3F7FB" w:val="clear"/>
            <w:tcMar>
              <w:top w:type="dxa" w:w="100"/>
              <w:left w:type="dxa" w:w="160"/>
              <w:bottom w:type="dxa" w:w="100"/>
              <w:right w:type="dxa" w:w="160"/>
            </w:tcMar>
          </w:tcPr>
          <w:p>
            <w:pPr>
              <w:spacing w:after="20" w:line="312"/>
            </w:pPr>
            <w:r>
              <w:rPr>
                <w:b/>
                <w:bCs/>
                <w:color w:val="1F2937"/>
                <w:sz w:val="19"/>
                <w:szCs w:val="19"/>
                <w:rFonts w:ascii="Arial" w:hAnsi="Arial" w:eastAsia="Microsoft YaHei"/>
              </w:rPr>
              <w:t xml:space="preserve">Noise-control rule: </w:t>
            </w:r>
            <w:r>
              <w:rPr>
                <w:color w:val="1F2937"/>
                <w:sz w:val="19"/>
                <w:szCs w:val="19"/>
                <w:rFonts w:ascii="Arial" w:hAnsi="Arial" w:eastAsia="Microsoft YaHei"/>
              </w:rPr>
              <w:t xml:space="preserve">triage and under_review status changes remain visible in the status portal but do not generate a new email unless they also create an action-required or decision event.</w:t>
            </w:r>
          </w:p>
          <w:p>
            <w:pPr>
              <w:spacing w:after="0" w:line="312"/>
            </w:pPr>
            <w:r>
              <w:rPr>
                <w:b/>
                <w:bCs/>
                <w:color w:val="667085"/>
                <w:sz w:val="18"/>
                <w:szCs w:val="18"/>
                <w:rFonts w:ascii="Arial" w:hAnsi="Arial" w:eastAsia="Microsoft YaHei"/>
              </w:rPr>
              <w:t xml:space="preserve">噪音控制规则：</w:t>
            </w:r>
            <w:r>
              <w:rPr>
                <w:color w:val="667085"/>
                <w:sz w:val="18"/>
                <w:szCs w:val="18"/>
                <w:rFonts w:ascii="Arial" w:hAnsi="Arial" w:eastAsia="Microsoft YaHei"/>
              </w:rPr>
              <w:t xml:space="preserve">初审（triage）和审核中（under_review）的状态变化仍在状态查询页可见，但除非同时产生“需要行动”或“决定”事件，否则不生成新邮件。</w:t>
            </w:r>
          </w:p>
        </w:tc>
      </w:tr>
    </w:tbl>
    <w:p>
      <w:pPr>
        <w:spacing w:after="160" w:line="240"/>
      </w:pPr>
    </w:p>
    <w:p>
      <w:pPr>
        <w:pStyle w:val="Heading1"/>
        <w:keepNext/>
        <w:spacing w:before="300" w:after="140" w:line="312"/>
      </w:pPr>
      <w:r>
        <w:rPr>
          <w:b/>
          <w:bCs/>
          <w:color w:val="2E74B5"/>
          <w:sz w:val="30"/>
          <w:szCs w:val="30"/>
          <w:rFonts w:ascii="Arial" w:hAnsi="Arial" w:eastAsia="Microsoft YaHei"/>
        </w:rPr>
        <w:t xml:space="preserve">4. Trigger catalogue</w:t>
      </w:r>
      <w:r>
        <w:rPr>
          <w:b/>
          <w:bCs/>
          <w:color w:val="667085"/>
          <w:sz w:val="26"/>
          <w:szCs w:val="26"/>
          <w:rFonts w:ascii="Arial" w:hAnsi="Arial" w:eastAsia="Microsoft YaHei"/>
        </w:rPr>
        <w:t xml:space="preserve">　触发目录</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562"/>
        <w:gridCol w:w="2995"/>
        <w:gridCol w:w="1778"/>
        <w:gridCol w:w="2340"/>
        <w:gridCol w:w="1685"/>
      </w:tblGrid>
      <w:tr>
        <w:trPr>
          <w:cantSplit/>
          <w:tblHeader/>
        </w:trPr>
        <w:tc>
          <w:tcPr>
            <w:tcW w:type="pct" w:w="6%"/>
            <w:shd w:fill="F2F4F7" w:val="clear"/>
            <w:tcMar>
              <w:top w:type="dxa" w:w="70"/>
              <w:left w:type="dxa" w:w="110"/>
              <w:bottom w:type="dxa" w:w="70"/>
              <w:right w:type="dxa" w:w="110"/>
            </w:tcMar>
          </w:tcPr>
          <w:p>
            <w:pPr>
              <w:keepNext/>
              <w:spacing w:after="10" w:line="276"/>
            </w:pPr>
            <w:r>
              <w:rPr>
                <w:b/>
                <w:bCs/>
                <w:color w:val="1F2937"/>
                <w:sz w:val="18"/>
                <w:szCs w:val="18"/>
                <w:rFonts w:ascii="Arial" w:hAnsi="Arial" w:eastAsia="Microsoft YaHei"/>
              </w:rPr>
              <w:t xml:space="preserve">ID</w:t>
            </w:r>
          </w:p>
          <w:p>
            <w:pPr>
              <w:keepNext/>
              <w:spacing w:after="0" w:line="276"/>
            </w:pPr>
            <w:r>
              <w:rPr>
                <w:color w:val="667085"/>
                <w:sz w:val="16"/>
                <w:szCs w:val="16"/>
                <w:rFonts w:ascii="Arial" w:hAnsi="Arial" w:eastAsia="Microsoft YaHei"/>
              </w:rPr>
              <w:t xml:space="preserve">编号</w:t>
            </w:r>
          </w:p>
        </w:tc>
        <w:tc>
          <w:tcPr>
            <w:tcW w:type="pct" w:w="32%"/>
            <w:shd w:fill="F2F4F7" w:val="clear"/>
            <w:tcMar>
              <w:top w:type="dxa" w:w="70"/>
              <w:left w:type="dxa" w:w="110"/>
              <w:bottom w:type="dxa" w:w="70"/>
              <w:right w:type="dxa" w:w="110"/>
            </w:tcMar>
          </w:tcPr>
          <w:p>
            <w:pPr>
              <w:keepNext/>
              <w:spacing w:after="10" w:line="276"/>
            </w:pPr>
            <w:r>
              <w:rPr>
                <w:b/>
                <w:bCs/>
                <w:color w:val="1F2937"/>
                <w:sz w:val="18"/>
                <w:szCs w:val="18"/>
                <w:rFonts w:ascii="Arial" w:hAnsi="Arial" w:eastAsia="Microsoft YaHei"/>
              </w:rPr>
              <w:t xml:space="preserve">Authoritative trigger</w:t>
            </w:r>
          </w:p>
          <w:p>
            <w:pPr>
              <w:keepNext/>
              <w:spacing w:after="0" w:line="276"/>
            </w:pPr>
            <w:r>
              <w:rPr>
                <w:color w:val="667085"/>
                <w:sz w:val="16"/>
                <w:szCs w:val="16"/>
                <w:rFonts w:ascii="Arial" w:hAnsi="Arial" w:eastAsia="Microsoft YaHei"/>
              </w:rPr>
              <w:t xml:space="preserve">权威触发条件</w:t>
            </w:r>
          </w:p>
        </w:tc>
        <w:tc>
          <w:tcPr>
            <w:tcW w:type="pct" w:w="19%"/>
            <w:shd w:fill="F2F4F7" w:val="clear"/>
            <w:tcMar>
              <w:top w:type="dxa" w:w="70"/>
              <w:left w:type="dxa" w:w="110"/>
              <w:bottom w:type="dxa" w:w="70"/>
              <w:right w:type="dxa" w:w="110"/>
            </w:tcMar>
          </w:tcPr>
          <w:p>
            <w:pPr>
              <w:keepNext/>
              <w:spacing w:after="10" w:line="276"/>
            </w:pPr>
            <w:r>
              <w:rPr>
                <w:b/>
                <w:bCs/>
                <w:color w:val="1F2937"/>
                <w:sz w:val="18"/>
                <w:szCs w:val="18"/>
                <w:rFonts w:ascii="Arial" w:hAnsi="Arial" w:eastAsia="Microsoft YaHei"/>
              </w:rPr>
              <w:t xml:space="preserve">Consumer email</w:t>
            </w:r>
          </w:p>
          <w:p>
            <w:pPr>
              <w:keepNext/>
              <w:spacing w:after="0" w:line="276"/>
            </w:pPr>
            <w:r>
              <w:rPr>
                <w:color w:val="667085"/>
                <w:sz w:val="16"/>
                <w:szCs w:val="16"/>
                <w:rFonts w:ascii="Arial" w:hAnsi="Arial" w:eastAsia="Microsoft YaHei"/>
              </w:rPr>
              <w:t xml:space="preserve">消费者邮件</w:t>
            </w:r>
          </w:p>
        </w:tc>
        <w:tc>
          <w:tcPr>
            <w:tcW w:type="pct" w:w="25%"/>
            <w:shd w:fill="F2F4F7" w:val="clear"/>
            <w:tcMar>
              <w:top w:type="dxa" w:w="70"/>
              <w:left w:type="dxa" w:w="110"/>
              <w:bottom w:type="dxa" w:w="70"/>
              <w:right w:type="dxa" w:w="110"/>
            </w:tcMar>
          </w:tcPr>
          <w:p>
            <w:pPr>
              <w:keepNext/>
              <w:spacing w:after="10" w:line="276"/>
            </w:pPr>
            <w:r>
              <w:rPr>
                <w:b/>
                <w:bCs/>
                <w:color w:val="1F2937"/>
                <w:sz w:val="18"/>
                <w:szCs w:val="18"/>
                <w:rFonts w:ascii="Arial" w:hAnsi="Arial" w:eastAsia="Microsoft YaHei"/>
              </w:rPr>
              <w:t xml:space="preserve">Timing</w:t>
            </w:r>
          </w:p>
          <w:p>
            <w:pPr>
              <w:keepNext/>
              <w:spacing w:after="0" w:line="276"/>
            </w:pPr>
            <w:r>
              <w:rPr>
                <w:color w:val="667085"/>
                <w:sz w:val="16"/>
                <w:szCs w:val="16"/>
                <w:rFonts w:ascii="Arial" w:hAnsi="Arial" w:eastAsia="Microsoft YaHei"/>
              </w:rPr>
              <w:t xml:space="preserve">时机</w:t>
            </w:r>
          </w:p>
        </w:tc>
        <w:tc>
          <w:tcPr>
            <w:tcW w:type="pct" w:w="18%"/>
            <w:shd w:fill="F2F4F7" w:val="clear"/>
            <w:tcMar>
              <w:top w:type="dxa" w:w="70"/>
              <w:left w:type="dxa" w:w="110"/>
              <w:bottom w:type="dxa" w:w="70"/>
              <w:right w:type="dxa" w:w="110"/>
            </w:tcMar>
          </w:tcPr>
          <w:p>
            <w:pPr>
              <w:keepNext/>
              <w:spacing w:after="10" w:line="276"/>
            </w:pPr>
            <w:r>
              <w:rPr>
                <w:b/>
                <w:bCs/>
                <w:color w:val="1F2937"/>
                <w:sz w:val="18"/>
                <w:szCs w:val="18"/>
                <w:rFonts w:ascii="Arial" w:hAnsi="Arial" w:eastAsia="Microsoft YaHei"/>
              </w:rPr>
              <w:t xml:space="preserve">Delivery status</w:t>
            </w:r>
          </w:p>
          <w:p>
            <w:pPr>
              <w:keepNext/>
              <w:spacing w:after="0" w:line="276"/>
            </w:pPr>
            <w:r>
              <w:rPr>
                <w:color w:val="667085"/>
                <w:sz w:val="16"/>
                <w:szCs w:val="16"/>
                <w:rFonts w:ascii="Arial" w:hAnsi="Arial" w:eastAsia="Microsoft YaHei"/>
              </w:rPr>
              <w:t xml:space="preserve">实现状态</w:t>
            </w:r>
          </w:p>
        </w:tc>
      </w:tr>
      <w:tr>
        <w:trPr>
          <w:cantSplit/>
        </w:trPr>
        <w:tc>
          <w:tcPr>
            <w:tcW w:type="pct" w:w="6%"/>
            <w:tcMar>
              <w:top w:type="dxa" w:w="70"/>
              <w:left w:type="dxa" w:w="110"/>
              <w:bottom w:type="dxa" w:w="70"/>
              <w:right w:type="dxa" w:w="110"/>
            </w:tcMar>
          </w:tcPr>
          <w:p>
            <w:pPr>
              <w:keepNext w:val="false"/>
              <w:spacing w:after="0" w:line="276"/>
            </w:pPr>
            <w:r>
              <w:rPr>
                <w:b w:val="false"/>
                <w:bCs w:val="false"/>
                <w:color w:val="1F2937"/>
                <w:sz w:val="18"/>
                <w:szCs w:val="18"/>
                <w:rFonts w:ascii="Arial" w:hAnsi="Arial" w:eastAsia="Microsoft YaHei"/>
              </w:rPr>
              <w:t xml:space="preserve">01</w:t>
            </w:r>
          </w:p>
        </w:tc>
        <w:tc>
          <w:tcPr>
            <w:tcW w:type="pct" w:w="32%"/>
            <w:tcMar>
              <w:top w:type="dxa" w:w="70"/>
              <w:left w:type="dxa" w:w="110"/>
              <w:bottom w:type="dxa" w:w="70"/>
              <w:right w:type="dxa" w:w="110"/>
            </w:tcMar>
          </w:tcPr>
          <w:p>
            <w:pPr>
              <w:keepNext w:val="false"/>
              <w:spacing w:after="0" w:line="276"/>
            </w:pPr>
            <w:r>
              <w:rPr>
                <w:b w:val="false"/>
                <w:bCs w:val="false"/>
                <w:color w:val="1F2937"/>
                <w:sz w:val="18"/>
                <w:szCs w:val="18"/>
                <w:rFonts w:ascii="Courier New" w:hAnsi="Courier New" w:eastAsia="Microsoft YaHei"/>
              </w:rPr>
              <w:t xml:space="preserve">claim.submitted</w:t>
            </w:r>
          </w:p>
        </w:tc>
        <w:tc>
          <w:tcPr>
            <w:tcW w:type="pct" w:w="19%"/>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Claim received</w:t>
            </w:r>
          </w:p>
          <w:p>
            <w:pPr>
              <w:keepNext w:val="false"/>
              <w:spacing w:after="0" w:line="276"/>
            </w:pPr>
            <w:r>
              <w:rPr>
                <w:color w:val="667085"/>
                <w:sz w:val="16"/>
                <w:szCs w:val="16"/>
                <w:rFonts w:ascii="Arial" w:hAnsi="Arial" w:eastAsia="Microsoft YaHei"/>
              </w:rPr>
              <w:t xml:space="preserve">索赔已受理</w:t>
            </w:r>
          </w:p>
        </w:tc>
        <w:tc>
          <w:tcPr>
            <w:tcW w:type="pct" w:w="25%"/>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Immediately after transaction commit</w:t>
            </w:r>
          </w:p>
          <w:p>
            <w:pPr>
              <w:keepNext w:val="false"/>
              <w:spacing w:after="0" w:line="276"/>
            </w:pPr>
            <w:r>
              <w:rPr>
                <w:color w:val="667085"/>
                <w:sz w:val="16"/>
                <w:szCs w:val="16"/>
                <w:rFonts w:ascii="Arial" w:hAnsi="Arial" w:eastAsia="Microsoft YaHei"/>
              </w:rPr>
              <w:t xml:space="preserve">事务提交后立即</w:t>
            </w:r>
          </w:p>
        </w:tc>
        <w:tc>
          <w:tcPr>
            <w:tcW w:type="pct" w:w="1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Implemented; template rendering gap</w:t>
            </w:r>
          </w:p>
          <w:p>
            <w:pPr>
              <w:keepNext w:val="false"/>
              <w:spacing w:after="0" w:line="276"/>
            </w:pPr>
            <w:r>
              <w:rPr>
                <w:color w:val="667085"/>
                <w:sz w:val="16"/>
                <w:szCs w:val="16"/>
                <w:rFonts w:ascii="Arial" w:hAnsi="Arial" w:eastAsia="Microsoft YaHei"/>
              </w:rPr>
              <w:t xml:space="preserve">已实现；缺模板渲染</w:t>
            </w:r>
          </w:p>
        </w:tc>
      </w:tr>
      <w:tr>
        <w:trPr>
          <w:cantSplit/>
        </w:trPr>
        <w:tc>
          <w:tcPr>
            <w:tcW w:type="pct" w:w="6%"/>
            <w:tcMar>
              <w:top w:type="dxa" w:w="70"/>
              <w:left w:type="dxa" w:w="110"/>
              <w:bottom w:type="dxa" w:w="70"/>
              <w:right w:type="dxa" w:w="110"/>
            </w:tcMar>
          </w:tcPr>
          <w:p>
            <w:pPr>
              <w:keepNext w:val="false"/>
              <w:spacing w:after="0" w:line="276"/>
            </w:pPr>
            <w:r>
              <w:rPr>
                <w:b w:val="false"/>
                <w:bCs w:val="false"/>
                <w:color w:val="1F2937"/>
                <w:sz w:val="18"/>
                <w:szCs w:val="18"/>
                <w:rFonts w:ascii="Arial" w:hAnsi="Arial" w:eastAsia="Microsoft YaHei"/>
              </w:rPr>
              <w:t xml:space="preserve">02</w:t>
            </w:r>
          </w:p>
        </w:tc>
        <w:tc>
          <w:tcPr>
            <w:tcW w:type="pct" w:w="32%"/>
            <w:tcMar>
              <w:top w:type="dxa" w:w="70"/>
              <w:left w:type="dxa" w:w="110"/>
              <w:bottom w:type="dxa" w:w="70"/>
              <w:right w:type="dxa" w:w="110"/>
            </w:tcMar>
          </w:tcPr>
          <w:p>
            <w:pPr>
              <w:keepNext w:val="false"/>
              <w:spacing w:after="0" w:line="276"/>
            </w:pPr>
            <w:r>
              <w:rPr>
                <w:b w:val="false"/>
                <w:bCs w:val="false"/>
                <w:color w:val="1F2937"/>
                <w:sz w:val="18"/>
                <w:szCs w:val="18"/>
                <w:rFonts w:ascii="Courier New" w:hAnsi="Courier New" w:eastAsia="Microsoft YaHei"/>
              </w:rPr>
              <w:t xml:space="preserve">case.status -&gt; need_info</w:t>
            </w:r>
          </w:p>
        </w:tc>
        <w:tc>
          <w:tcPr>
            <w:tcW w:type="pct" w:w="19%"/>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Additional information required</w:t>
            </w:r>
          </w:p>
          <w:p>
            <w:pPr>
              <w:keepNext w:val="false"/>
              <w:spacing w:after="0" w:line="276"/>
            </w:pPr>
            <w:r>
              <w:rPr>
                <w:color w:val="667085"/>
                <w:sz w:val="16"/>
                <w:szCs w:val="16"/>
                <w:rFonts w:ascii="Arial" w:hAnsi="Arial" w:eastAsia="Microsoft YaHei"/>
              </w:rPr>
              <w:t xml:space="preserve">需要补充材料</w:t>
            </w:r>
          </w:p>
        </w:tc>
        <w:tc>
          <w:tcPr>
            <w:tcW w:type="pct" w:w="25%"/>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Immediately</w:t>
            </w:r>
          </w:p>
          <w:p>
            <w:pPr>
              <w:keepNext w:val="false"/>
              <w:spacing w:after="0" w:line="276"/>
            </w:pPr>
            <w:r>
              <w:rPr>
                <w:color w:val="667085"/>
                <w:sz w:val="16"/>
                <w:szCs w:val="16"/>
                <w:rFonts w:ascii="Arial" w:hAnsi="Arial" w:eastAsia="Microsoft YaHei"/>
              </w:rPr>
              <w:t xml:space="preserve">立即</w:t>
            </w:r>
          </w:p>
        </w:tc>
        <w:tc>
          <w:tcPr>
            <w:tcW w:type="pct" w:w="1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New</w:t>
            </w:r>
          </w:p>
          <w:p>
            <w:pPr>
              <w:keepNext w:val="false"/>
              <w:spacing w:after="0" w:line="276"/>
            </w:pPr>
            <w:r>
              <w:rPr>
                <w:color w:val="667085"/>
                <w:sz w:val="16"/>
                <w:szCs w:val="16"/>
                <w:rFonts w:ascii="Arial" w:hAnsi="Arial" w:eastAsia="Microsoft YaHei"/>
              </w:rPr>
              <w:t xml:space="preserve">新建</w:t>
            </w:r>
          </w:p>
        </w:tc>
      </w:tr>
      <w:tr>
        <w:trPr>
          <w:cantSplit/>
        </w:trPr>
        <w:tc>
          <w:tcPr>
            <w:tcW w:type="pct" w:w="6%"/>
            <w:tcMar>
              <w:top w:type="dxa" w:w="70"/>
              <w:left w:type="dxa" w:w="110"/>
              <w:bottom w:type="dxa" w:w="70"/>
              <w:right w:type="dxa" w:w="110"/>
            </w:tcMar>
          </w:tcPr>
          <w:p>
            <w:pPr>
              <w:keepNext w:val="false"/>
              <w:spacing w:after="0" w:line="276"/>
            </w:pPr>
            <w:r>
              <w:rPr>
                <w:b w:val="false"/>
                <w:bCs w:val="false"/>
                <w:color w:val="1F2937"/>
                <w:sz w:val="18"/>
                <w:szCs w:val="18"/>
                <w:rFonts w:ascii="Arial" w:hAnsi="Arial" w:eastAsia="Microsoft YaHei"/>
              </w:rPr>
              <w:t xml:space="preserve">03A</w:t>
            </w:r>
          </w:p>
        </w:tc>
        <w:tc>
          <w:tcPr>
            <w:tcW w:type="pct" w:w="32%"/>
            <w:tcMar>
              <w:top w:type="dxa" w:w="70"/>
              <w:left w:type="dxa" w:w="110"/>
              <w:bottom w:type="dxa" w:w="70"/>
              <w:right w:type="dxa" w:w="110"/>
            </w:tcMar>
          </w:tcPr>
          <w:p>
            <w:pPr>
              <w:keepNext/>
              <w:spacing w:after="0" w:line="276"/>
            </w:pPr>
            <w:r>
              <w:rPr>
                <w:b w:val="false"/>
                <w:bCs w:val="false"/>
                <w:color w:val="1F2937"/>
                <w:sz w:val="18"/>
                <w:szCs w:val="18"/>
                <w:rFonts w:ascii="Courier New" w:hAnsi="Courier New" w:eastAsia="Microsoft YaHei"/>
              </w:rPr>
              <w:t xml:space="preserve">resolution.approved</w:t>
            </w:r>
          </w:p>
          <w:p>
            <w:pPr>
              <w:keepNext w:val="false"/>
              <w:spacing w:after="0" w:line="276"/>
            </w:pPr>
            <w:r>
              <w:rPr>
                <w:b w:val="false"/>
                <w:bCs w:val="false"/>
                <w:color w:val="1F2937"/>
                <w:sz w:val="18"/>
                <w:szCs w:val="18"/>
                <w:rFonts w:ascii="Courier New" w:hAnsi="Courier New" w:eastAsia="Microsoft YaHei"/>
              </w:rPr>
              <w:t xml:space="preserve">+ type=refund</w:t>
            </w:r>
          </w:p>
        </w:tc>
        <w:tc>
          <w:tcPr>
            <w:tcW w:type="pct" w:w="19%"/>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Refund approved</w:t>
            </w:r>
          </w:p>
          <w:p>
            <w:pPr>
              <w:keepNext w:val="false"/>
              <w:spacing w:after="0" w:line="276"/>
            </w:pPr>
            <w:r>
              <w:rPr>
                <w:color w:val="667085"/>
                <w:sz w:val="16"/>
                <w:szCs w:val="16"/>
                <w:rFonts w:ascii="Arial" w:hAnsi="Arial" w:eastAsia="Microsoft YaHei"/>
              </w:rPr>
              <w:t xml:space="preserve">退款已批准</w:t>
            </w:r>
          </w:p>
        </w:tc>
        <w:tc>
          <w:tcPr>
            <w:tcW w:type="pct" w:w="25%"/>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Immediately</w:t>
            </w:r>
          </w:p>
          <w:p>
            <w:pPr>
              <w:keepNext w:val="false"/>
              <w:spacing w:after="0" w:line="276"/>
            </w:pPr>
            <w:r>
              <w:rPr>
                <w:color w:val="667085"/>
                <w:sz w:val="16"/>
                <w:szCs w:val="16"/>
                <w:rFonts w:ascii="Arial" w:hAnsi="Arial" w:eastAsia="Microsoft YaHei"/>
              </w:rPr>
              <w:t xml:space="preserve">立即</w:t>
            </w:r>
          </w:p>
        </w:tc>
        <w:tc>
          <w:tcPr>
            <w:tcW w:type="pct" w:w="1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New</w:t>
            </w:r>
          </w:p>
          <w:p>
            <w:pPr>
              <w:keepNext w:val="false"/>
              <w:spacing w:after="0" w:line="276"/>
            </w:pPr>
            <w:r>
              <w:rPr>
                <w:color w:val="667085"/>
                <w:sz w:val="16"/>
                <w:szCs w:val="16"/>
                <w:rFonts w:ascii="Arial" w:hAnsi="Arial" w:eastAsia="Microsoft YaHei"/>
              </w:rPr>
              <w:t xml:space="preserve">新建</w:t>
            </w:r>
          </w:p>
        </w:tc>
      </w:tr>
      <w:tr>
        <w:trPr>
          <w:cantSplit/>
        </w:trPr>
        <w:tc>
          <w:tcPr>
            <w:tcW w:type="pct" w:w="6%"/>
            <w:tcMar>
              <w:top w:type="dxa" w:w="70"/>
              <w:left w:type="dxa" w:w="110"/>
              <w:bottom w:type="dxa" w:w="70"/>
              <w:right w:type="dxa" w:w="110"/>
            </w:tcMar>
          </w:tcPr>
          <w:p>
            <w:pPr>
              <w:keepNext w:val="false"/>
              <w:spacing w:after="0" w:line="276"/>
            </w:pPr>
            <w:r>
              <w:rPr>
                <w:b w:val="false"/>
                <w:bCs w:val="false"/>
                <w:color w:val="1F2937"/>
                <w:sz w:val="18"/>
                <w:szCs w:val="18"/>
                <w:rFonts w:ascii="Arial" w:hAnsi="Arial" w:eastAsia="Microsoft YaHei"/>
              </w:rPr>
              <w:t xml:space="preserve">03B</w:t>
            </w:r>
          </w:p>
        </w:tc>
        <w:tc>
          <w:tcPr>
            <w:tcW w:type="pct" w:w="32%"/>
            <w:tcMar>
              <w:top w:type="dxa" w:w="70"/>
              <w:left w:type="dxa" w:w="110"/>
              <w:bottom w:type="dxa" w:w="70"/>
              <w:right w:type="dxa" w:w="110"/>
            </w:tcMar>
          </w:tcPr>
          <w:p>
            <w:pPr>
              <w:keepNext/>
              <w:spacing w:after="0" w:line="276"/>
            </w:pPr>
            <w:r>
              <w:rPr>
                <w:b w:val="false"/>
                <w:bCs w:val="false"/>
                <w:color w:val="1F2937"/>
                <w:sz w:val="18"/>
                <w:szCs w:val="18"/>
                <w:rFonts w:ascii="Courier New" w:hAnsi="Courier New" w:eastAsia="Microsoft YaHei"/>
              </w:rPr>
              <w:t xml:space="preserve">resolution.approved</w:t>
            </w:r>
          </w:p>
          <w:p>
            <w:pPr>
              <w:keepNext w:val="false"/>
              <w:spacing w:after="0" w:line="276"/>
            </w:pPr>
            <w:r>
              <w:rPr>
                <w:b w:val="false"/>
                <w:bCs w:val="false"/>
                <w:color w:val="1F2937"/>
                <w:sz w:val="18"/>
                <w:szCs w:val="18"/>
                <w:rFonts w:ascii="Courier New" w:hAnsi="Courier New" w:eastAsia="Microsoft YaHei"/>
              </w:rPr>
              <w:t xml:space="preserve">+ type=replacement</w:t>
            </w:r>
          </w:p>
        </w:tc>
        <w:tc>
          <w:tcPr>
            <w:tcW w:type="pct" w:w="19%"/>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Replacement approved</w:t>
            </w:r>
          </w:p>
          <w:p>
            <w:pPr>
              <w:keepNext w:val="false"/>
              <w:spacing w:after="0" w:line="276"/>
            </w:pPr>
            <w:r>
              <w:rPr>
                <w:color w:val="667085"/>
                <w:sz w:val="16"/>
                <w:szCs w:val="16"/>
                <w:rFonts w:ascii="Arial" w:hAnsi="Arial" w:eastAsia="Microsoft YaHei"/>
              </w:rPr>
              <w:t xml:space="preserve">补发已批准</w:t>
            </w:r>
          </w:p>
        </w:tc>
        <w:tc>
          <w:tcPr>
            <w:tcW w:type="pct" w:w="25%"/>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Immediately</w:t>
            </w:r>
          </w:p>
          <w:p>
            <w:pPr>
              <w:keepNext w:val="false"/>
              <w:spacing w:after="0" w:line="276"/>
            </w:pPr>
            <w:r>
              <w:rPr>
                <w:color w:val="667085"/>
                <w:sz w:val="16"/>
                <w:szCs w:val="16"/>
                <w:rFonts w:ascii="Arial" w:hAnsi="Arial" w:eastAsia="Microsoft YaHei"/>
              </w:rPr>
              <w:t xml:space="preserve">立即</w:t>
            </w:r>
          </w:p>
        </w:tc>
        <w:tc>
          <w:tcPr>
            <w:tcW w:type="pct" w:w="1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New</w:t>
            </w:r>
          </w:p>
          <w:p>
            <w:pPr>
              <w:keepNext w:val="false"/>
              <w:spacing w:after="0" w:line="276"/>
            </w:pPr>
            <w:r>
              <w:rPr>
                <w:color w:val="667085"/>
                <w:sz w:val="16"/>
                <w:szCs w:val="16"/>
                <w:rFonts w:ascii="Arial" w:hAnsi="Arial" w:eastAsia="Microsoft YaHei"/>
              </w:rPr>
              <w:t xml:space="preserve">新建</w:t>
            </w:r>
          </w:p>
        </w:tc>
      </w:tr>
      <w:tr>
        <w:trPr>
          <w:cantSplit/>
        </w:trPr>
        <w:tc>
          <w:tcPr>
            <w:tcW w:type="pct" w:w="6%"/>
            <w:tcMar>
              <w:top w:type="dxa" w:w="70"/>
              <w:left w:type="dxa" w:w="110"/>
              <w:bottom w:type="dxa" w:w="70"/>
              <w:right w:type="dxa" w:w="110"/>
            </w:tcMar>
          </w:tcPr>
          <w:p>
            <w:pPr>
              <w:keepNext w:val="false"/>
              <w:spacing w:after="0" w:line="276"/>
            </w:pPr>
            <w:r>
              <w:rPr>
                <w:b w:val="false"/>
                <w:bCs w:val="false"/>
                <w:color w:val="1F2937"/>
                <w:sz w:val="18"/>
                <w:szCs w:val="18"/>
                <w:rFonts w:ascii="Arial" w:hAnsi="Arial" w:eastAsia="Microsoft YaHei"/>
              </w:rPr>
              <w:t xml:space="preserve">04</w:t>
            </w:r>
          </w:p>
        </w:tc>
        <w:tc>
          <w:tcPr>
            <w:tcW w:type="pct" w:w="32%"/>
            <w:tcMar>
              <w:top w:type="dxa" w:w="70"/>
              <w:left w:type="dxa" w:w="110"/>
              <w:bottom w:type="dxa" w:w="70"/>
              <w:right w:type="dxa" w:w="110"/>
            </w:tcMar>
          </w:tcPr>
          <w:p>
            <w:pPr>
              <w:keepNext/>
              <w:spacing w:after="0" w:line="276"/>
            </w:pPr>
            <w:r>
              <w:rPr>
                <w:b w:val="false"/>
                <w:bCs w:val="false"/>
                <w:color w:val="1F2937"/>
                <w:sz w:val="18"/>
                <w:szCs w:val="18"/>
                <w:rFonts w:ascii="Courier New" w:hAnsi="Courier New" w:eastAsia="Microsoft YaHei"/>
              </w:rPr>
              <w:t xml:space="preserve">case.status -&gt; rejected</w:t>
            </w:r>
          </w:p>
          <w:p>
            <w:pPr>
              <w:keepNext w:val="false"/>
              <w:spacing w:after="0" w:line="276"/>
            </w:pPr>
            <w:r>
              <w:rPr>
                <w:b w:val="false"/>
                <w:bCs w:val="false"/>
                <w:color w:val="1F2937"/>
                <w:sz w:val="18"/>
                <w:szCs w:val="18"/>
                <w:rFonts w:ascii="Courier New" w:hAnsi="Courier New" w:eastAsia="Microsoft YaHei"/>
              </w:rPr>
              <w:t xml:space="preserve">/ duplicate</w:t>
            </w:r>
          </w:p>
        </w:tc>
        <w:tc>
          <w:tcPr>
            <w:tcW w:type="pct" w:w="19%"/>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Claim not approved</w:t>
            </w:r>
          </w:p>
          <w:p>
            <w:pPr>
              <w:keepNext w:val="false"/>
              <w:spacing w:after="0" w:line="276"/>
            </w:pPr>
            <w:r>
              <w:rPr>
                <w:color w:val="667085"/>
                <w:sz w:val="16"/>
                <w:szCs w:val="16"/>
                <w:rFonts w:ascii="Arial" w:hAnsi="Arial" w:eastAsia="Microsoft YaHei"/>
              </w:rPr>
              <w:t xml:space="preserve">索赔未获批准</w:t>
            </w:r>
          </w:p>
        </w:tc>
        <w:tc>
          <w:tcPr>
            <w:tcW w:type="pct" w:w="25%"/>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Immediately after reason approval</w:t>
            </w:r>
          </w:p>
          <w:p>
            <w:pPr>
              <w:keepNext w:val="false"/>
              <w:spacing w:after="0" w:line="276"/>
            </w:pPr>
            <w:r>
              <w:rPr>
                <w:color w:val="667085"/>
                <w:sz w:val="16"/>
                <w:szCs w:val="16"/>
                <w:rFonts w:ascii="Arial" w:hAnsi="Arial" w:eastAsia="Microsoft YaHei"/>
              </w:rPr>
              <w:t xml:space="preserve">原因文案批准后立即</w:t>
            </w:r>
          </w:p>
        </w:tc>
        <w:tc>
          <w:tcPr>
            <w:tcW w:type="pct" w:w="1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New</w:t>
            </w:r>
          </w:p>
          <w:p>
            <w:pPr>
              <w:keepNext w:val="false"/>
              <w:spacing w:after="0" w:line="276"/>
            </w:pPr>
            <w:r>
              <w:rPr>
                <w:color w:val="667085"/>
                <w:sz w:val="16"/>
                <w:szCs w:val="16"/>
                <w:rFonts w:ascii="Arial" w:hAnsi="Arial" w:eastAsia="Microsoft YaHei"/>
              </w:rPr>
              <w:t xml:space="preserve">新建</w:t>
            </w:r>
          </w:p>
        </w:tc>
      </w:tr>
      <w:tr>
        <w:trPr>
          <w:cantSplit/>
        </w:trPr>
        <w:tc>
          <w:tcPr>
            <w:tcW w:type="pct" w:w="6%"/>
            <w:tcMar>
              <w:top w:type="dxa" w:w="70"/>
              <w:left w:type="dxa" w:w="110"/>
              <w:bottom w:type="dxa" w:w="70"/>
              <w:right w:type="dxa" w:w="110"/>
            </w:tcMar>
          </w:tcPr>
          <w:p>
            <w:pPr>
              <w:keepNext w:val="false"/>
              <w:spacing w:after="0" w:line="276"/>
            </w:pPr>
            <w:r>
              <w:rPr>
                <w:b w:val="false"/>
                <w:bCs w:val="false"/>
                <w:color w:val="1F2937"/>
                <w:sz w:val="18"/>
                <w:szCs w:val="18"/>
                <w:rFonts w:ascii="Arial" w:hAnsi="Arial" w:eastAsia="Microsoft YaHei"/>
              </w:rPr>
              <w:t xml:space="preserve">05</w:t>
            </w:r>
          </w:p>
        </w:tc>
        <w:tc>
          <w:tcPr>
            <w:tcW w:type="pct" w:w="32%"/>
            <w:tcMar>
              <w:top w:type="dxa" w:w="70"/>
              <w:left w:type="dxa" w:w="110"/>
              <w:bottom w:type="dxa" w:w="70"/>
              <w:right w:type="dxa" w:w="110"/>
            </w:tcMar>
          </w:tcPr>
          <w:p>
            <w:pPr>
              <w:keepNext/>
              <w:spacing w:after="0" w:line="276"/>
            </w:pPr>
            <w:r>
              <w:rPr>
                <w:b w:val="false"/>
                <w:bCs w:val="false"/>
                <w:color w:val="1F2937"/>
                <w:sz w:val="18"/>
                <w:szCs w:val="18"/>
                <w:rFonts w:ascii="Courier New" w:hAnsi="Courier New" w:eastAsia="Microsoft YaHei"/>
              </w:rPr>
              <w:t xml:space="preserve">resolution.</w:t>
            </w:r>
          </w:p>
          <w:p>
            <w:pPr>
              <w:keepNext/>
              <w:spacing w:after="0" w:line="276"/>
            </w:pPr>
            <w:r>
              <w:rPr>
                <w:b w:val="false"/>
                <w:bCs w:val="false"/>
                <w:color w:val="1F2937"/>
                <w:sz w:val="18"/>
                <w:szCs w:val="18"/>
                <w:rFonts w:ascii="Courier New" w:hAnsi="Courier New" w:eastAsia="Microsoft YaHei"/>
              </w:rPr>
              <w:t xml:space="preserve">externally_completed</w:t>
            </w:r>
          </w:p>
          <w:p>
            <w:pPr>
              <w:keepNext w:val="false"/>
              <w:spacing w:after="0" w:line="276"/>
            </w:pPr>
            <w:r>
              <w:rPr>
                <w:b w:val="false"/>
                <w:bCs w:val="false"/>
                <w:color w:val="1F2937"/>
                <w:sz w:val="18"/>
                <w:szCs w:val="18"/>
                <w:rFonts w:ascii="Courier New" w:hAnsi="Courier New" w:eastAsia="Microsoft YaHei"/>
              </w:rPr>
              <w:t xml:space="preserve">(refund)</w:t>
            </w:r>
          </w:p>
        </w:tc>
        <w:tc>
          <w:tcPr>
            <w:tcW w:type="pct" w:w="19%"/>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Refund completed</w:t>
            </w:r>
          </w:p>
          <w:p>
            <w:pPr>
              <w:keepNext w:val="false"/>
              <w:spacing w:after="0" w:line="276"/>
            </w:pPr>
            <w:r>
              <w:rPr>
                <w:color w:val="667085"/>
                <w:sz w:val="16"/>
                <w:szCs w:val="16"/>
                <w:rFonts w:ascii="Arial" w:hAnsi="Arial" w:eastAsia="Microsoft YaHei"/>
              </w:rPr>
              <w:t xml:space="preserve">退款已完成</w:t>
            </w:r>
          </w:p>
        </w:tc>
        <w:tc>
          <w:tcPr>
            <w:tcW w:type="pct" w:w="25%"/>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After external reference recorded</w:t>
            </w:r>
          </w:p>
          <w:p>
            <w:pPr>
              <w:keepNext w:val="false"/>
              <w:spacing w:after="0" w:line="276"/>
            </w:pPr>
            <w:r>
              <w:rPr>
                <w:color w:val="667085"/>
                <w:sz w:val="16"/>
                <w:szCs w:val="16"/>
                <w:rFonts w:ascii="Arial" w:hAnsi="Arial" w:eastAsia="Microsoft YaHei"/>
              </w:rPr>
              <w:t xml:space="preserve">记录外部参考号之后</w:t>
            </w:r>
          </w:p>
        </w:tc>
        <w:tc>
          <w:tcPr>
            <w:tcW w:type="pct" w:w="1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New</w:t>
            </w:r>
          </w:p>
          <w:p>
            <w:pPr>
              <w:keepNext w:val="false"/>
              <w:spacing w:after="0" w:line="276"/>
            </w:pPr>
            <w:r>
              <w:rPr>
                <w:color w:val="667085"/>
                <w:sz w:val="16"/>
                <w:szCs w:val="16"/>
                <w:rFonts w:ascii="Arial" w:hAnsi="Arial" w:eastAsia="Microsoft YaHei"/>
              </w:rPr>
              <w:t xml:space="preserve">新建</w:t>
            </w:r>
          </w:p>
        </w:tc>
      </w:tr>
      <w:tr>
        <w:trPr>
          <w:cantSplit/>
        </w:trPr>
        <w:tc>
          <w:tcPr>
            <w:tcW w:type="pct" w:w="6%"/>
            <w:tcMar>
              <w:top w:type="dxa" w:w="70"/>
              <w:left w:type="dxa" w:w="110"/>
              <w:bottom w:type="dxa" w:w="70"/>
              <w:right w:type="dxa" w:w="110"/>
            </w:tcMar>
          </w:tcPr>
          <w:p>
            <w:pPr>
              <w:keepNext w:val="false"/>
              <w:spacing w:after="0" w:line="276"/>
            </w:pPr>
            <w:r>
              <w:rPr>
                <w:b w:val="false"/>
                <w:bCs w:val="false"/>
                <w:color w:val="1F2937"/>
                <w:sz w:val="18"/>
                <w:szCs w:val="18"/>
                <w:rFonts w:ascii="Arial" w:hAnsi="Arial" w:eastAsia="Microsoft YaHei"/>
              </w:rPr>
              <w:t xml:space="preserve">06</w:t>
            </w:r>
          </w:p>
        </w:tc>
        <w:tc>
          <w:tcPr>
            <w:tcW w:type="pct" w:w="32%"/>
            <w:tcMar>
              <w:top w:type="dxa" w:w="70"/>
              <w:left w:type="dxa" w:w="110"/>
              <w:bottom w:type="dxa" w:w="70"/>
              <w:right w:type="dxa" w:w="110"/>
            </w:tcMar>
          </w:tcPr>
          <w:p>
            <w:pPr>
              <w:keepNext w:val="false"/>
              <w:spacing w:after="0" w:line="276"/>
            </w:pPr>
            <w:r>
              <w:rPr>
                <w:b w:val="false"/>
                <w:bCs w:val="false"/>
                <w:color w:val="1F2937"/>
                <w:sz w:val="18"/>
                <w:szCs w:val="18"/>
                <w:rFonts w:ascii="Courier New" w:hAnsi="Courier New" w:eastAsia="Microsoft YaHei"/>
              </w:rPr>
              <w:t xml:space="preserve">replacement.shipped</w:t>
            </w:r>
          </w:p>
        </w:tc>
        <w:tc>
          <w:tcPr>
            <w:tcW w:type="pct" w:w="19%"/>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Replacement shipped</w:t>
            </w:r>
          </w:p>
          <w:p>
            <w:pPr>
              <w:keepNext w:val="false"/>
              <w:spacing w:after="0" w:line="276"/>
            </w:pPr>
            <w:r>
              <w:rPr>
                <w:color w:val="667085"/>
                <w:sz w:val="16"/>
                <w:szCs w:val="16"/>
                <w:rFonts w:ascii="Arial" w:hAnsi="Arial" w:eastAsia="Microsoft YaHei"/>
              </w:rPr>
              <w:t xml:space="preserve">补发商品已发货</w:t>
            </w:r>
          </w:p>
        </w:tc>
        <w:tc>
          <w:tcPr>
            <w:tcW w:type="pct" w:w="25%"/>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After carrier/tracking confirmation</w:t>
            </w:r>
          </w:p>
          <w:p>
            <w:pPr>
              <w:keepNext w:val="false"/>
              <w:spacing w:after="0" w:line="276"/>
            </w:pPr>
            <w:r>
              <w:rPr>
                <w:color w:val="667085"/>
                <w:sz w:val="16"/>
                <w:szCs w:val="16"/>
                <w:rFonts w:ascii="Arial" w:hAnsi="Arial" w:eastAsia="Microsoft YaHei"/>
              </w:rPr>
              <w:t xml:space="preserve">承运商/运单号确认之后</w:t>
            </w:r>
          </w:p>
        </w:tc>
        <w:tc>
          <w:tcPr>
            <w:tcW w:type="pct" w:w="1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Requires a shipment fact/event</w:t>
            </w:r>
          </w:p>
          <w:p>
            <w:pPr>
              <w:keepNext w:val="false"/>
              <w:spacing w:after="0" w:line="276"/>
            </w:pPr>
            <w:r>
              <w:rPr>
                <w:color w:val="667085"/>
                <w:sz w:val="16"/>
                <w:szCs w:val="16"/>
                <w:rFonts w:ascii="Arial" w:hAnsi="Arial" w:eastAsia="Microsoft YaHei"/>
              </w:rPr>
              <w:t xml:space="preserve">需要发货事实/事件</w:t>
            </w:r>
          </w:p>
        </w:tc>
      </w:tr>
      <w:tr>
        <w:trPr>
          <w:cantSplit/>
        </w:trPr>
        <w:tc>
          <w:tcPr>
            <w:tcW w:type="pct" w:w="6%"/>
            <w:tcMar>
              <w:top w:type="dxa" w:w="70"/>
              <w:left w:type="dxa" w:w="110"/>
              <w:bottom w:type="dxa" w:w="70"/>
              <w:right w:type="dxa" w:w="110"/>
            </w:tcMar>
          </w:tcPr>
          <w:p>
            <w:pPr>
              <w:keepNext w:val="false"/>
              <w:spacing w:after="0" w:line="276"/>
            </w:pPr>
            <w:r>
              <w:rPr>
                <w:b w:val="false"/>
                <w:bCs w:val="false"/>
                <w:color w:val="1F2937"/>
                <w:sz w:val="18"/>
                <w:szCs w:val="18"/>
                <w:rFonts w:ascii="Arial" w:hAnsi="Arial" w:eastAsia="Microsoft YaHei"/>
              </w:rPr>
              <w:t xml:space="preserve">07</w:t>
            </w:r>
          </w:p>
        </w:tc>
        <w:tc>
          <w:tcPr>
            <w:tcW w:type="pct" w:w="32%"/>
            <w:tcMar>
              <w:top w:type="dxa" w:w="70"/>
              <w:left w:type="dxa" w:w="110"/>
              <w:bottom w:type="dxa" w:w="70"/>
              <w:right w:type="dxa" w:w="110"/>
            </w:tcMar>
          </w:tcPr>
          <w:p>
            <w:pPr>
              <w:keepNext/>
              <w:spacing w:after="0" w:line="276"/>
            </w:pPr>
            <w:r>
              <w:rPr>
                <w:b w:val="false"/>
                <w:bCs w:val="false"/>
                <w:color w:val="1F2937"/>
                <w:sz w:val="18"/>
                <w:szCs w:val="18"/>
                <w:rFonts w:ascii="Courier New" w:hAnsi="Courier New" w:eastAsia="Microsoft YaHei"/>
              </w:rPr>
              <w:t xml:space="preserve">case.status -&gt; closed</w:t>
            </w:r>
          </w:p>
          <w:p>
            <w:pPr>
              <w:keepNext w:val="false"/>
              <w:spacing w:after="0" w:line="276"/>
            </w:pPr>
            <w:r>
              <w:rPr>
                <w:b w:val="false"/>
                <w:bCs w:val="false"/>
                <w:color w:val="1F2937"/>
                <w:sz w:val="18"/>
                <w:szCs w:val="18"/>
                <w:rFonts w:ascii="Courier New" w:hAnsi="Courier New" w:eastAsia="Microsoft YaHei"/>
              </w:rPr>
              <w:t xml:space="preserve">after remedy</w:t>
            </w:r>
          </w:p>
        </w:tc>
        <w:tc>
          <w:tcPr>
            <w:tcW w:type="pct" w:w="19%"/>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Case completed</w:t>
            </w:r>
          </w:p>
          <w:p>
            <w:pPr>
              <w:keepNext w:val="false"/>
              <w:spacing w:after="0" w:line="276"/>
            </w:pPr>
            <w:r>
              <w:rPr>
                <w:color w:val="667085"/>
                <w:sz w:val="16"/>
                <w:szCs w:val="16"/>
                <w:rFonts w:ascii="Arial" w:hAnsi="Arial" w:eastAsia="Microsoft YaHei"/>
              </w:rPr>
              <w:t xml:space="preserve">案件已完成</w:t>
            </w:r>
          </w:p>
        </w:tc>
        <w:tc>
          <w:tcPr>
            <w:tcW w:type="pct" w:w="25%"/>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After closure gates pass</w:t>
            </w:r>
          </w:p>
          <w:p>
            <w:pPr>
              <w:keepNext w:val="false"/>
              <w:spacing w:after="0" w:line="276"/>
            </w:pPr>
            <w:r>
              <w:rPr>
                <w:color w:val="667085"/>
                <w:sz w:val="16"/>
                <w:szCs w:val="16"/>
                <w:rFonts w:ascii="Arial" w:hAnsi="Arial" w:eastAsia="Microsoft YaHei"/>
              </w:rPr>
              <w:t xml:space="preserve">结案闸门全部通过后</w:t>
            </w:r>
          </w:p>
        </w:tc>
        <w:tc>
          <w:tcPr>
            <w:tcW w:type="pct" w:w="1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New</w:t>
            </w:r>
          </w:p>
          <w:p>
            <w:pPr>
              <w:keepNext w:val="false"/>
              <w:spacing w:after="0" w:line="276"/>
            </w:pPr>
            <w:r>
              <w:rPr>
                <w:color w:val="667085"/>
                <w:sz w:val="16"/>
                <w:szCs w:val="16"/>
                <w:rFonts w:ascii="Arial" w:hAnsi="Arial" w:eastAsia="Microsoft YaHei"/>
              </w:rPr>
              <w:t xml:space="preserve">新建</w:t>
            </w:r>
          </w:p>
        </w:tc>
      </w:tr>
      <w:tr>
        <w:trPr>
          <w:cantSplit/>
        </w:trPr>
        <w:tc>
          <w:tcPr>
            <w:tcW w:type="pct" w:w="6%"/>
            <w:tcMar>
              <w:top w:type="dxa" w:w="70"/>
              <w:left w:type="dxa" w:w="110"/>
              <w:bottom w:type="dxa" w:w="70"/>
              <w:right w:type="dxa" w:w="110"/>
            </w:tcMar>
          </w:tcPr>
          <w:p>
            <w:pPr>
              <w:keepNext w:val="false"/>
              <w:spacing w:after="0" w:line="276"/>
            </w:pPr>
            <w:r>
              <w:rPr>
                <w:b w:val="false"/>
                <w:bCs w:val="false"/>
                <w:color w:val="1F2937"/>
                <w:sz w:val="18"/>
                <w:szCs w:val="18"/>
                <w:rFonts w:ascii="Arial" w:hAnsi="Arial" w:eastAsia="Microsoft YaHei"/>
              </w:rPr>
              <w:t xml:space="preserve">08</w:t>
            </w:r>
          </w:p>
        </w:tc>
        <w:tc>
          <w:tcPr>
            <w:tcW w:type="pct" w:w="32%"/>
            <w:tcMar>
              <w:top w:type="dxa" w:w="70"/>
              <w:left w:type="dxa" w:w="110"/>
              <w:bottom w:type="dxa" w:w="70"/>
              <w:right w:type="dxa" w:w="110"/>
            </w:tcMar>
          </w:tcPr>
          <w:p>
            <w:pPr>
              <w:keepNext/>
              <w:spacing w:after="0" w:line="276"/>
            </w:pPr>
            <w:r>
              <w:rPr>
                <w:b w:val="false"/>
                <w:bCs w:val="false"/>
                <w:color w:val="1F2937"/>
                <w:sz w:val="18"/>
                <w:szCs w:val="18"/>
                <w:rFonts w:ascii="Courier New" w:hAnsi="Courier New" w:eastAsia="Microsoft YaHei"/>
              </w:rPr>
              <w:t xml:space="preserve">case.status -&gt;</w:t>
            </w:r>
          </w:p>
          <w:p>
            <w:pPr>
              <w:keepNext/>
              <w:spacing w:after="0" w:line="276"/>
            </w:pPr>
            <w:r>
              <w:rPr>
                <w:b w:val="false"/>
                <w:bCs w:val="false"/>
                <w:color w:val="1F2937"/>
                <w:sz w:val="18"/>
                <w:szCs w:val="18"/>
                <w:rFonts w:ascii="Courier New" w:hAnsi="Courier New" w:eastAsia="Microsoft YaHei"/>
              </w:rPr>
              <w:t xml:space="preserve">withdrawn / closed</w:t>
            </w:r>
          </w:p>
          <w:p>
            <w:pPr>
              <w:keepNext w:val="false"/>
              <w:spacing w:after="0" w:line="276"/>
            </w:pPr>
            <w:r>
              <w:rPr>
                <w:b w:val="false"/>
                <w:bCs w:val="false"/>
                <w:color w:val="1F2937"/>
                <w:sz w:val="18"/>
                <w:szCs w:val="18"/>
                <w:rFonts w:ascii="Courier New" w:hAnsi="Courier New" w:eastAsia="Microsoft YaHei"/>
              </w:rPr>
              <w:t xml:space="preserve">without remedy</w:t>
            </w:r>
          </w:p>
        </w:tc>
        <w:tc>
          <w:tcPr>
            <w:tcW w:type="pct" w:w="19%"/>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Case closed</w:t>
            </w:r>
          </w:p>
          <w:p>
            <w:pPr>
              <w:keepNext w:val="false"/>
              <w:spacing w:after="0" w:line="276"/>
            </w:pPr>
            <w:r>
              <w:rPr>
                <w:color w:val="667085"/>
                <w:sz w:val="16"/>
                <w:szCs w:val="16"/>
                <w:rFonts w:ascii="Arial" w:hAnsi="Arial" w:eastAsia="Microsoft YaHei"/>
              </w:rPr>
              <w:t xml:space="preserve">案件已关闭</w:t>
            </w:r>
          </w:p>
        </w:tc>
        <w:tc>
          <w:tcPr>
            <w:tcW w:type="pct" w:w="25%"/>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Immediately after controlled reason recorded</w:t>
            </w:r>
          </w:p>
          <w:p>
            <w:pPr>
              <w:keepNext w:val="false"/>
              <w:spacing w:after="0" w:line="276"/>
            </w:pPr>
            <w:r>
              <w:rPr>
                <w:color w:val="667085"/>
                <w:sz w:val="16"/>
                <w:szCs w:val="16"/>
                <w:rFonts w:ascii="Arial" w:hAnsi="Arial" w:eastAsia="Microsoft YaHei"/>
              </w:rPr>
              <w:t xml:space="preserve">受控原因记录后立即</w:t>
            </w:r>
          </w:p>
        </w:tc>
        <w:tc>
          <w:tcPr>
            <w:tcW w:type="pct" w:w="1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New</w:t>
            </w:r>
          </w:p>
          <w:p>
            <w:pPr>
              <w:keepNext w:val="false"/>
              <w:spacing w:after="0" w:line="276"/>
            </w:pPr>
            <w:r>
              <w:rPr>
                <w:color w:val="667085"/>
                <w:sz w:val="16"/>
                <w:szCs w:val="16"/>
                <w:rFonts w:ascii="Arial" w:hAnsi="Arial" w:eastAsia="Microsoft YaHei"/>
              </w:rPr>
              <w:t xml:space="preserve">新建</w:t>
            </w:r>
          </w:p>
        </w:tc>
      </w:tr>
    </w:tbl>
    <w:p>
      <w:pPr>
        <w:spacing w:after="160" w:line="240"/>
      </w:pPr>
    </w:p>
    <w:p>
      <w:pPr>
        <w:pStyle w:val="Heading1"/>
        <w:keepNext/>
        <w:spacing w:before="300" w:after="140" w:line="312"/>
      </w:pPr>
      <w:r>
        <w:rPr>
          <w:b/>
          <w:bCs/>
          <w:color w:val="2E74B5"/>
          <w:sz w:val="30"/>
          <w:szCs w:val="30"/>
          <w:rFonts w:ascii="Arial" w:hAnsi="Arial" w:eastAsia="Microsoft YaHei"/>
        </w:rPr>
        <w:t xml:space="preserve">5. Trigger requirements</w:t>
      </w:r>
      <w:r>
        <w:rPr>
          <w:b/>
          <w:bCs/>
          <w:color w:val="667085"/>
          <w:sz w:val="26"/>
          <w:szCs w:val="26"/>
          <w:rFonts w:ascii="Arial" w:hAnsi="Arial" w:eastAsia="Microsoft YaHei"/>
        </w:rPr>
        <w:t xml:space="preserve">　触发要求</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2246"/>
        <w:gridCol w:w="7114"/>
      </w:tblGrid>
      <w:tr>
        <w:trPr>
          <w:cantSplit/>
          <w:tblHeader/>
        </w:trPr>
        <w:tc>
          <w:tcPr>
            <w:tcW w:type="pct" w:w="24%"/>
            <w:shd w:fill="F2F4F7" w:val="clear"/>
            <w:tcMar>
              <w:top w:type="dxa" w:w="70"/>
              <w:left w:type="dxa" w:w="110"/>
              <w:bottom w:type="dxa" w:w="70"/>
              <w:right w:type="dxa" w:w="110"/>
            </w:tcMar>
          </w:tcPr>
          <w:p>
            <w:pPr>
              <w:keepNext/>
              <w:spacing w:after="10" w:line="276"/>
            </w:pPr>
            <w:r>
              <w:rPr>
                <w:b/>
                <w:bCs/>
                <w:color w:val="1F2937"/>
                <w:sz w:val="18"/>
                <w:szCs w:val="18"/>
                <w:rFonts w:ascii="Arial" w:hAnsi="Arial" w:eastAsia="Microsoft YaHei"/>
              </w:rPr>
              <w:t xml:space="preserve">Requirement</w:t>
            </w:r>
          </w:p>
          <w:p>
            <w:pPr>
              <w:keepNext/>
              <w:spacing w:after="0" w:line="276"/>
            </w:pPr>
            <w:r>
              <w:rPr>
                <w:color w:val="667085"/>
                <w:sz w:val="16"/>
                <w:szCs w:val="16"/>
                <w:rFonts w:ascii="Arial" w:hAnsi="Arial" w:eastAsia="Microsoft YaHei"/>
              </w:rPr>
              <w:t xml:space="preserve">要求</w:t>
            </w:r>
          </w:p>
        </w:tc>
        <w:tc>
          <w:tcPr>
            <w:tcW w:type="pct" w:w="76%"/>
            <w:shd w:fill="F2F4F7" w:val="clear"/>
            <w:tcMar>
              <w:top w:type="dxa" w:w="70"/>
              <w:left w:type="dxa" w:w="110"/>
              <w:bottom w:type="dxa" w:w="70"/>
              <w:right w:type="dxa" w:w="110"/>
            </w:tcMar>
          </w:tcPr>
          <w:p>
            <w:pPr>
              <w:keepNext/>
              <w:spacing w:after="10" w:line="276"/>
            </w:pPr>
            <w:r>
              <w:rPr>
                <w:b/>
                <w:bCs/>
                <w:color w:val="1F2937"/>
                <w:sz w:val="18"/>
                <w:szCs w:val="18"/>
                <w:rFonts w:ascii="Arial" w:hAnsi="Arial" w:eastAsia="Microsoft YaHei"/>
              </w:rPr>
              <w:t xml:space="preserve">Specification</w:t>
            </w:r>
          </w:p>
          <w:p>
            <w:pPr>
              <w:keepNext/>
              <w:spacing w:after="0" w:line="276"/>
            </w:pPr>
            <w:r>
              <w:rPr>
                <w:color w:val="667085"/>
                <w:sz w:val="16"/>
                <w:szCs w:val="16"/>
                <w:rFonts w:ascii="Arial" w:hAnsi="Arial" w:eastAsia="Microsoft YaHei"/>
              </w:rPr>
              <w:t xml:space="preserve">具体规定</w:t>
            </w:r>
          </w:p>
        </w:tc>
      </w:tr>
      <w:tr>
        <w:trPr>
          <w:cantSplit/>
        </w:trPr>
        <w:tc>
          <w:tcPr>
            <w:tcW w:type="pct" w:w="24%"/>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Business truth first</w:t>
            </w:r>
          </w:p>
          <w:p>
            <w:pPr>
              <w:keepNext w:val="false"/>
              <w:spacing w:after="0" w:line="276"/>
            </w:pPr>
            <w:r>
              <w:rPr>
                <w:color w:val="667085"/>
                <w:sz w:val="16"/>
                <w:szCs w:val="16"/>
                <w:rFonts w:ascii="Arial" w:hAnsi="Arial" w:eastAsia="Microsoft YaHei"/>
              </w:rPr>
              <w:t xml:space="preserve">业务事实优先</w:t>
            </w:r>
          </w:p>
        </w:tc>
        <w:tc>
          <w:tcPr>
            <w:tcW w:type="pct" w:w="76%"/>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Create the Communication and Outbox row only after all validation passes, inside the same database transaction as the Case/Resolution change.</w:t>
            </w:r>
          </w:p>
          <w:p>
            <w:pPr>
              <w:keepNext w:val="false"/>
              <w:spacing w:after="0" w:line="276"/>
            </w:pPr>
            <w:r>
              <w:rPr>
                <w:color w:val="667085"/>
                <w:sz w:val="16"/>
                <w:szCs w:val="16"/>
                <w:rFonts w:ascii="Arial" w:hAnsi="Arial" w:eastAsia="Microsoft YaHei"/>
              </w:rPr>
              <w:t xml:space="preserve">只有在全部校验通过后，才在与 Case/Resolution 变更相同的数据库事务中创建 Communication 与 Outbox 行。</w:t>
            </w:r>
          </w:p>
        </w:tc>
      </w:tr>
      <w:tr>
        <w:trPr>
          <w:cantSplit/>
        </w:trPr>
        <w:tc>
          <w:tcPr>
            <w:tcW w:type="pct" w:w="24%"/>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Deduplication</w:t>
            </w:r>
          </w:p>
          <w:p>
            <w:pPr>
              <w:keepNext w:val="false"/>
              <w:spacing w:after="0" w:line="276"/>
            </w:pPr>
            <w:r>
              <w:rPr>
                <w:color w:val="667085"/>
                <w:sz w:val="16"/>
                <w:szCs w:val="16"/>
                <w:rFonts w:ascii="Arial" w:hAnsi="Arial" w:eastAsia="Microsoft YaHei"/>
              </w:rPr>
              <w:t xml:space="preserve">去重</w:t>
            </w:r>
          </w:p>
        </w:tc>
        <w:tc>
          <w:tcPr>
            <w:tcW w:type="pct" w:w="76%"/>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One business event version produces at most one message key. Recommended key: email/{templateType}/{caseId}/{eventVersion}</w:t>
            </w:r>
          </w:p>
          <w:p>
            <w:pPr>
              <w:keepNext w:val="false"/>
              <w:spacing w:after="0" w:line="276"/>
            </w:pPr>
            <w:r>
              <w:rPr>
                <w:color w:val="667085"/>
                <w:sz w:val="16"/>
                <w:szCs w:val="16"/>
                <w:rFonts w:ascii="Arial" w:hAnsi="Arial" w:eastAsia="Microsoft YaHei"/>
              </w:rPr>
              <w:t xml:space="preserve">一个业务事件版本最多产生一个消息键。推荐键格式：email/{templateType}/{caseId}/{eventVersion}</w:t>
            </w:r>
          </w:p>
        </w:tc>
      </w:tr>
      <w:tr>
        <w:trPr>
          <w:cantSplit/>
        </w:trPr>
        <w:tc>
          <w:tcPr>
            <w:tcW w:type="pct" w:w="24%"/>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Recipient</w:t>
            </w:r>
          </w:p>
          <w:p>
            <w:pPr>
              <w:keepNext w:val="false"/>
              <w:spacing w:after="0" w:line="276"/>
            </w:pPr>
            <w:r>
              <w:rPr>
                <w:color w:val="667085"/>
                <w:sz w:val="16"/>
                <w:szCs w:val="16"/>
                <w:rFonts w:ascii="Arial" w:hAnsi="Arial" w:eastAsia="Microsoft YaHei"/>
              </w:rPr>
              <w:t xml:space="preserve">收件人</w:t>
            </w:r>
          </w:p>
        </w:tc>
        <w:tc>
          <w:tcPr>
            <w:tcW w:type="pct" w:w="76%"/>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Use the normalized email attached to the submitted Case. Do not silently switch to an account-profile address.</w:t>
            </w:r>
          </w:p>
          <w:p>
            <w:pPr>
              <w:keepNext w:val="false"/>
              <w:spacing w:after="0" w:line="276"/>
            </w:pPr>
            <w:r>
              <w:rPr>
                <w:color w:val="667085"/>
                <w:sz w:val="16"/>
                <w:szCs w:val="16"/>
                <w:rFonts w:ascii="Arial" w:hAnsi="Arial" w:eastAsia="Microsoft YaHei"/>
              </w:rPr>
              <w:t xml:space="preserve">使用提交的 Case 上登记的规范化邮箱。不得静默切换为账号资料中的地址。</w:t>
            </w:r>
          </w:p>
        </w:tc>
      </w:tr>
      <w:tr>
        <w:trPr>
          <w:cantSplit/>
        </w:trPr>
        <w:tc>
          <w:tcPr>
            <w:tcW w:type="pct" w:w="24%"/>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Template version</w:t>
            </w:r>
          </w:p>
          <w:p>
            <w:pPr>
              <w:keepNext w:val="false"/>
              <w:spacing w:after="0" w:line="276"/>
            </w:pPr>
            <w:r>
              <w:rPr>
                <w:color w:val="667085"/>
                <w:sz w:val="16"/>
                <w:szCs w:val="16"/>
                <w:rFonts w:ascii="Arial" w:hAnsi="Arial" w:eastAsia="Microsoft YaHei"/>
              </w:rPr>
              <w:t xml:space="preserve">模板版本</w:t>
            </w:r>
          </w:p>
        </w:tc>
        <w:tc>
          <w:tcPr>
            <w:tcW w:type="pct" w:w="76%"/>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Pin the campaign version, locale, template type, and active template version at enqueue time.</w:t>
            </w:r>
          </w:p>
          <w:p>
            <w:pPr>
              <w:keepNext w:val="false"/>
              <w:spacing w:after="0" w:line="276"/>
            </w:pPr>
            <w:r>
              <w:rPr>
                <w:color w:val="667085"/>
                <w:sz w:val="16"/>
                <w:szCs w:val="16"/>
                <w:rFonts w:ascii="Arial" w:hAnsi="Arial" w:eastAsia="Microsoft YaHei"/>
              </w:rPr>
              <w:t xml:space="preserve">在入队时即固定（pin）召回活动版本、语言、模板类型与生效模板版本。</w:t>
            </w:r>
          </w:p>
        </w:tc>
      </w:tr>
      <w:tr>
        <w:trPr>
          <w:cantSplit/>
        </w:trPr>
        <w:tc>
          <w:tcPr>
            <w:tcW w:type="pct" w:w="24%"/>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Required variables</w:t>
            </w:r>
          </w:p>
          <w:p>
            <w:pPr>
              <w:keepNext w:val="false"/>
              <w:spacing w:after="0" w:line="276"/>
            </w:pPr>
            <w:r>
              <w:rPr>
                <w:color w:val="667085"/>
                <w:sz w:val="16"/>
                <w:szCs w:val="16"/>
                <w:rFonts w:ascii="Arial" w:hAnsi="Arial" w:eastAsia="Microsoft YaHei"/>
              </w:rPr>
              <w:t xml:space="preserve">必填变量</w:t>
            </w:r>
          </w:p>
        </w:tc>
        <w:tc>
          <w:tcPr>
            <w:tcW w:type="pct" w:w="76%"/>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Validate every variable before enqueue or before provider send; missing required values must fail closed and remain operationally visible.</w:t>
            </w:r>
          </w:p>
          <w:p>
            <w:pPr>
              <w:keepNext w:val="false"/>
              <w:spacing w:after="0" w:line="276"/>
            </w:pPr>
            <w:r>
              <w:rPr>
                <w:color w:val="667085"/>
                <w:sz w:val="16"/>
                <w:szCs w:val="16"/>
                <w:rFonts w:ascii="Arial" w:hAnsi="Arial" w:eastAsia="Microsoft YaHei"/>
              </w:rPr>
              <w:t xml:space="preserve">入队前或供应商发送前校验每一个变量；必填值缺失时必须失败关闭（fail closed），并保持运营可见。</w:t>
            </w:r>
          </w:p>
        </w:tc>
      </w:tr>
      <w:tr>
        <w:trPr>
          <w:cantSplit/>
        </w:trPr>
        <w:tc>
          <w:tcPr>
            <w:tcW w:type="pct" w:w="24%"/>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Safe content</w:t>
            </w:r>
          </w:p>
          <w:p>
            <w:pPr>
              <w:keepNext w:val="false"/>
              <w:spacing w:after="0" w:line="276"/>
            </w:pPr>
            <w:r>
              <w:rPr>
                <w:color w:val="667085"/>
                <w:sz w:val="16"/>
                <w:szCs w:val="16"/>
                <w:rFonts w:ascii="Arial" w:hAnsi="Arial" w:eastAsia="Microsoft YaHei"/>
              </w:rPr>
              <w:t xml:space="preserve">内容安全</w:t>
            </w:r>
          </w:p>
        </w:tc>
        <w:tc>
          <w:tcPr>
            <w:tcW w:type="pct" w:w="76%"/>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No medical narrative, attachment URL, full address, operator note, fraud signal, or CPSC reportability opinion in consumer email.</w:t>
            </w:r>
          </w:p>
          <w:p>
            <w:pPr>
              <w:keepNext w:val="false"/>
              <w:spacing w:after="0" w:line="276"/>
            </w:pPr>
            <w:r>
              <w:rPr>
                <w:color w:val="667085"/>
                <w:sz w:val="16"/>
                <w:szCs w:val="16"/>
                <w:rFonts w:ascii="Arial" w:hAnsi="Arial" w:eastAsia="Microsoft YaHei"/>
              </w:rPr>
              <w:t xml:space="preserve">消费者邮件中不得包含医疗过程描述、附件链接、完整地址、运营备注、欺诈信号或 CPSC 上报判断。</w:t>
            </w:r>
          </w:p>
        </w:tc>
      </w:tr>
      <w:tr>
        <w:trPr>
          <w:cantSplit/>
        </w:trPr>
        <w:tc>
          <w:tcPr>
            <w:tcW w:type="pct" w:w="24%"/>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Status alignment</w:t>
            </w:r>
          </w:p>
          <w:p>
            <w:pPr>
              <w:keepNext w:val="false"/>
              <w:spacing w:after="0" w:line="276"/>
            </w:pPr>
            <w:r>
              <w:rPr>
                <w:color w:val="667085"/>
                <w:sz w:val="16"/>
                <w:szCs w:val="16"/>
                <w:rFonts w:ascii="Arial" w:hAnsi="Arial" w:eastAsia="Microsoft YaHei"/>
              </w:rPr>
              <w:t xml:space="preserve">状态一致</w:t>
            </w:r>
          </w:p>
        </w:tc>
        <w:tc>
          <w:tcPr>
            <w:tcW w:type="pct" w:w="76%"/>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The status lookup page and email must derive from the same public-state mapping and approved-resolution fact.</w:t>
            </w:r>
          </w:p>
          <w:p>
            <w:pPr>
              <w:keepNext w:val="false"/>
              <w:spacing w:after="0" w:line="276"/>
            </w:pPr>
            <w:r>
              <w:rPr>
                <w:color w:val="667085"/>
                <w:sz w:val="16"/>
                <w:szCs w:val="16"/>
                <w:rFonts w:ascii="Arial" w:hAnsi="Arial" w:eastAsia="Microsoft YaHei"/>
              </w:rPr>
              <w:t xml:space="preserve">状态查询页与邮件必须来自同一份公开状态映射和已批准处置方案事实。</w:t>
            </w:r>
          </w:p>
        </w:tc>
      </w:tr>
      <w:tr>
        <w:trPr>
          <w:cantSplit/>
        </w:trPr>
        <w:tc>
          <w:tcPr>
            <w:tcW w:type="pct" w:w="24%"/>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No review-start email</w:t>
            </w:r>
          </w:p>
          <w:p>
            <w:pPr>
              <w:keepNext w:val="false"/>
              <w:spacing w:after="0" w:line="276"/>
            </w:pPr>
            <w:r>
              <w:rPr>
                <w:color w:val="667085"/>
                <w:sz w:val="16"/>
                <w:szCs w:val="16"/>
                <w:rFonts w:ascii="Arial" w:hAnsi="Arial" w:eastAsia="Microsoft YaHei"/>
              </w:rPr>
              <w:t xml:space="preserve">不发“审核已开始”邮件</w:t>
            </w:r>
          </w:p>
        </w:tc>
        <w:tc>
          <w:tcPr>
            <w:tcW w:type="pct" w:w="76%"/>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Change received-status copy to “We will email you if we need information or when a decision is made.”</w:t>
            </w:r>
          </w:p>
          <w:p>
            <w:pPr>
              <w:keepNext w:val="false"/>
              <w:spacing w:after="0" w:line="276"/>
            </w:pPr>
            <w:r>
              <w:rPr>
                <w:color w:val="667085"/>
                <w:sz w:val="16"/>
                <w:szCs w:val="16"/>
                <w:rFonts w:ascii="Arial" w:hAnsi="Arial" w:eastAsia="Microsoft YaHei"/>
              </w:rPr>
              <w:t xml:space="preserve">将受理状态文案改为“如需补充材料或作出决定，我们会通过邮件与您联系。”</w:t>
            </w:r>
          </w:p>
        </w:tc>
      </w:tr>
    </w:tbl>
    <w:p>
      <w:pPr>
        <w:spacing w:after="160" w:line="240"/>
      </w:pPr>
    </w:p>
    <w:p>
      <w:pPr>
        <w:pStyle w:val="Heading1"/>
        <w:keepNext/>
        <w:spacing w:before="300" w:after="140" w:line="312"/>
      </w:pPr>
      <w:r>
        <w:rPr>
          <w:b/>
          <w:bCs/>
          <w:color w:val="2E74B5"/>
          <w:sz w:val="30"/>
          <w:szCs w:val="30"/>
          <w:rFonts w:ascii="Arial" w:hAnsi="Arial" w:eastAsia="Microsoft YaHei"/>
        </w:rPr>
        <w:t xml:space="preserve">6. Event-to-template contract</w:t>
      </w:r>
      <w:r>
        <w:rPr>
          <w:b/>
          <w:bCs/>
          <w:color w:val="667085"/>
          <w:sz w:val="26"/>
          <w:szCs w:val="26"/>
          <w:rFonts w:ascii="Arial" w:hAnsi="Arial" w:eastAsia="Microsoft YaHei"/>
        </w:rPr>
        <w:t xml:space="preserve">　事件与模板的契约</w:t>
      </w:r>
    </w:p>
    <w:tbl>
      <w:tblPr>
        <w:tblW w:type="pct" w:w="100%"/>
        <w:tblBorders>
          <w:top w:val="single" w:color="D0D7DE" w:sz="2"/>
          <w:left w:val="single" w:color="D0D7DE" w:sz="2"/>
          <w:bottom w:val="single" w:color="D0D7DE" w:sz="2"/>
          <w:right w:val="single" w:color="D0D7DE" w:sz="2"/>
          <w:insideH w:val="none"/>
          <w:insideV w:val="none"/>
        </w:tblBorders>
      </w:tblPr>
      <w:tblGrid>
        <w:gridCol w:w="9360"/>
      </w:tblGrid>
      <w:tr>
        <w:trPr>
          <w:cantSplit/>
        </w:trPr>
        <w:tc>
          <w:tcPr>
            <w:tcW w:type="pct" w:w="100%"/>
            <w:shd w:fill="F8FAFC" w:val="clear"/>
            <w:tcMar>
              <w:top w:type="dxa" w:w="100"/>
              <w:left w:type="dxa" w:w="160"/>
              <w:bottom w:type="dxa" w:w="100"/>
              <w:right w:type="dxa" w:w="160"/>
            </w:tcMar>
          </w:tcPr>
          <w:p>
            <w:pPr>
              <w:spacing w:after="20" w:line="264"/>
            </w:pPr>
            <w:r>
              <w:rPr>
                <w:color w:val="1F2937"/>
                <w:sz w:val="17"/>
                <w:szCs w:val="17"/>
                <w:rFonts w:ascii="Courier New" w:hAnsi="Courier New" w:eastAsia="Microsoft YaHei"/>
              </w:rPr>
              <w:t xml:space="preserve">Recommended Outbox payload (identifiers only) / 推荐 Outbox 载荷（仅含标识符）</w:t>
            </w:r>
          </w:p>
          <w:p>
            <w:pPr>
              <w:spacing w:after="20" w:line="264"/>
            </w:pPr>
            <w:r>
              <w:rPr>
                <w:color w:val="1F2937"/>
                <w:sz w:val="17"/>
                <w:szCs w:val="17"/>
                <w:rFonts w:ascii="Courier New" w:hAnsi="Courier New" w:eastAsia="Microsoft YaHei"/>
              </w:rPr>
            </w:r>
          </w:p>
          <w:p>
            <w:pPr>
              <w:spacing w:after="20" w:line="264"/>
            </w:pPr>
            <w:r>
              <w:rPr>
                <w:color w:val="1F2937"/>
                <w:sz w:val="17"/>
                <w:szCs w:val="17"/>
                <w:rFonts w:ascii="Courier New" w:hAnsi="Courier New" w:eastAsia="Microsoft YaHei"/>
              </w:rPr>
              <w:t xml:space="preserve">{</w:t>
            </w:r>
          </w:p>
          <w:p>
            <w:pPr>
              <w:spacing w:after="20" w:line="264"/>
            </w:pPr>
            <w:r>
              <w:rPr>
                <w:color w:val="1F2937"/>
                <w:sz w:val="17"/>
                <w:szCs w:val="17"/>
                <w:rFonts w:ascii="Courier New" w:hAnsi="Courier New" w:eastAsia="Microsoft YaHei"/>
              </w:rPr>
              <w:t xml:space="preserve">  "eventType": "case.consumer_email.requested",</w:t>
            </w:r>
          </w:p>
          <w:p>
            <w:pPr>
              <w:spacing w:after="20" w:line="264"/>
            </w:pPr>
            <w:r>
              <w:rPr>
                <w:color w:val="1F2937"/>
                <w:sz w:val="17"/>
                <w:szCs w:val="17"/>
                <w:rFonts w:ascii="Courier New" w:hAnsi="Courier New" w:eastAsia="Microsoft YaHei"/>
              </w:rPr>
              <w:t xml:space="preserve">  "eventVersion": 1,</w:t>
            </w:r>
          </w:p>
          <w:p>
            <w:pPr>
              <w:spacing w:after="20" w:line="264"/>
            </w:pPr>
            <w:r>
              <w:rPr>
                <w:color w:val="1F2937"/>
                <w:sz w:val="17"/>
                <w:szCs w:val="17"/>
                <w:rFonts w:ascii="Courier New" w:hAnsi="Courier New" w:eastAsia="Microsoft YaHei"/>
              </w:rPr>
              <w:t xml:space="preserve">  "caseId": "uuid",</w:t>
            </w:r>
          </w:p>
          <w:p>
            <w:pPr>
              <w:spacing w:after="20" w:line="264"/>
            </w:pPr>
            <w:r>
              <w:rPr>
                <w:color w:val="1F2937"/>
                <w:sz w:val="17"/>
                <w:szCs w:val="17"/>
                <w:rFonts w:ascii="Courier New" w:hAnsi="Courier New" w:eastAsia="Microsoft YaHei"/>
              </w:rPr>
              <w:t xml:space="preserve">  "communicationId": "uuid",</w:t>
            </w:r>
          </w:p>
          <w:p>
            <w:pPr>
              <w:spacing w:after="20" w:line="264"/>
            </w:pPr>
            <w:r>
              <w:rPr>
                <w:color w:val="1F2937"/>
                <w:sz w:val="17"/>
                <w:szCs w:val="17"/>
                <w:rFonts w:ascii="Courier New" w:hAnsi="Courier New" w:eastAsia="Microsoft YaHei"/>
              </w:rPr>
              <w:t xml:space="preserve">  "templateType": "action_required",</w:t>
            </w:r>
          </w:p>
          <w:p>
            <w:pPr>
              <w:spacing w:after="20" w:line="264"/>
            </w:pPr>
            <w:r>
              <w:rPr>
                <w:color w:val="1F2937"/>
                <w:sz w:val="17"/>
                <w:szCs w:val="17"/>
                <w:rFonts w:ascii="Courier New" w:hAnsi="Courier New" w:eastAsia="Microsoft YaHei"/>
              </w:rPr>
              <w:t xml:space="preserve">  "locale": "en-US",</w:t>
            </w:r>
          </w:p>
          <w:p>
            <w:pPr>
              <w:spacing w:after="20" w:line="264"/>
            </w:pPr>
            <w:r>
              <w:rPr>
                <w:color w:val="1F2937"/>
                <w:sz w:val="17"/>
                <w:szCs w:val="17"/>
                <w:rFonts w:ascii="Courier New" w:hAnsi="Courier New" w:eastAsia="Microsoft YaHei"/>
              </w:rPr>
              <w:t xml:space="preserve">  "occurredAt": "ISO-8601"</w:t>
            </w:r>
          </w:p>
          <w:p>
            <w:pPr>
              <w:spacing w:after="0" w:line="264"/>
            </w:pPr>
            <w:r>
              <w:rPr>
                <w:color w:val="1F2937"/>
                <w:sz w:val="17"/>
                <w:szCs w:val="17"/>
                <w:rFonts w:ascii="Courier New" w:hAnsi="Courier New" w:eastAsia="Microsoft YaHei"/>
              </w:rPr>
              <w:t xml:space="preserve">}</w:t>
            </w:r>
          </w:p>
        </w:tc>
      </w:tr>
    </w:tbl>
    <w:p>
      <w:pPr>
        <w:spacing w:after="100" w:line="240"/>
      </w:pPr>
    </w:p>
    <w:p>
      <w:pPr>
        <w:pStyle w:val="ListParagraph"/>
        <w:numPr>
          <w:ilvl w:val="0"/>
          <w:numId w:val="1"/>
        </w:numPr>
        <w:spacing w:after="100" w:line="312"/>
      </w:pPr>
      <w:r>
        <w:rPr>
          <w:color w:val="1F2937"/>
          <w:sz w:val="19"/>
          <w:szCs w:val="19"/>
          <w:rFonts w:ascii="Arial" w:hAnsi="Arial" w:eastAsia="Microsoft YaHei"/>
        </w:rPr>
        <w:t xml:space="preserve">The Outbox payload must not contain the raw recipient, subject, body, incident details, mailing address, or attachment paths.</w:t>
      </w:r>
      <w:r>
        <w:rPr>
          <w:color w:val="667085"/>
          <w:sz w:val="18"/>
          <w:szCs w:val="18"/>
          <w:rFonts w:ascii="Arial" w:hAnsi="Arial" w:eastAsia="Microsoft YaHei"/>
        </w:rPr>
        <w:br/>
        <w:t xml:space="preserve">Outbox 载荷不得包含原始收件人、主题、正文、事件经过详情、邮寄地址或附件路径。</w:t>
      </w:r>
    </w:p>
    <w:p>
      <w:pPr>
        <w:pStyle w:val="ListParagraph"/>
        <w:numPr>
          <w:ilvl w:val="0"/>
          <w:numId w:val="1"/>
        </w:numPr>
        <w:spacing w:after="100" w:line="312"/>
      </w:pPr>
      <w:r>
        <w:rPr>
          <w:color w:val="1F2937"/>
          <w:sz w:val="19"/>
          <w:szCs w:val="19"/>
          <w:rFonts w:ascii="Arial" w:hAnsi="Arial" w:eastAsia="Microsoft YaHei"/>
        </w:rPr>
        <w:t xml:space="preserve">Template variables are resolved from authorized database reads at processing time or stored in a separately encrypted immutable snapshot when business history must be frozen.</w:t>
      </w:r>
      <w:r>
        <w:rPr>
          <w:color w:val="667085"/>
          <w:sz w:val="18"/>
          <w:szCs w:val="18"/>
          <w:rFonts w:ascii="Arial" w:hAnsi="Arial" w:eastAsia="Microsoft YaHei"/>
        </w:rPr>
        <w:br/>
        <w:t xml:space="preserve">模板变量在处理时通过经授权的数据库读取来解析；当业务历史必须被冻结时，则存入单独加密的不可变快照。</w:t>
      </w:r>
    </w:p>
    <w:p>
      <w:pPr>
        <w:pStyle w:val="ListParagraph"/>
        <w:numPr>
          <w:ilvl w:val="0"/>
          <w:numId w:val="1"/>
        </w:numPr>
        <w:spacing w:after="100" w:line="312"/>
      </w:pPr>
      <w:r>
        <w:rPr>
          <w:color w:val="1F2937"/>
          <w:sz w:val="19"/>
          <w:szCs w:val="19"/>
          <w:rFonts w:ascii="Arial" w:hAnsi="Arial" w:eastAsia="Microsoft YaHei"/>
        </w:rPr>
        <w:t xml:space="preserve">A message event must carry a monotonically increasing eventVersion when the same template type may legitimately be sent more than once.</w:t>
      </w:r>
      <w:r>
        <w:rPr>
          <w:color w:val="667085"/>
          <w:sz w:val="18"/>
          <w:szCs w:val="18"/>
          <w:rFonts w:ascii="Arial" w:hAnsi="Arial" w:eastAsia="Microsoft YaHei"/>
        </w:rPr>
        <w:br/>
        <w:t xml:space="preserve">当同一模板类型可能被合法地多次发送时，消息事件必须携带单调递增的 eventVersion。</w:t>
      </w:r>
    </w:p>
    <w:p>
      <w:pPr>
        <w:pStyle w:val="Heading1"/>
        <w:keepNext/>
        <w:spacing w:before="300" w:after="140" w:line="312"/>
      </w:pPr>
      <w:r>
        <w:rPr>
          <w:b/>
          <w:bCs/>
          <w:color w:val="2E74B5"/>
          <w:sz w:val="30"/>
          <w:szCs w:val="30"/>
          <w:rFonts w:ascii="Arial" w:hAnsi="Arial" w:eastAsia="Microsoft YaHei"/>
        </w:rPr>
        <w:t xml:space="preserve">7. Ownership and review gates</w:t>
      </w:r>
      <w:r>
        <w:rPr>
          <w:b/>
          <w:bCs/>
          <w:color w:val="667085"/>
          <w:sz w:val="26"/>
          <w:szCs w:val="26"/>
          <w:rFonts w:ascii="Arial" w:hAnsi="Arial" w:eastAsia="Microsoft YaHei"/>
        </w:rPr>
        <w:t xml:space="preserve">　职责分工与评审关卡</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2621"/>
        <w:gridCol w:w="6739"/>
      </w:tblGrid>
      <w:tr>
        <w:trPr>
          <w:cantSplit/>
          <w:tblHeader/>
        </w:trPr>
        <w:tc>
          <w:tcPr>
            <w:tcW w:type="pct" w:w="28%"/>
            <w:shd w:fill="F2F4F7" w:val="clear"/>
            <w:tcMar>
              <w:top w:type="dxa" w:w="70"/>
              <w:left w:type="dxa" w:w="110"/>
              <w:bottom w:type="dxa" w:w="70"/>
              <w:right w:type="dxa" w:w="110"/>
            </w:tcMar>
          </w:tcPr>
          <w:p>
            <w:pPr>
              <w:keepNext/>
              <w:spacing w:after="10" w:line="276"/>
            </w:pPr>
            <w:r>
              <w:rPr>
                <w:b/>
                <w:bCs/>
                <w:color w:val="1F2937"/>
                <w:sz w:val="18"/>
                <w:szCs w:val="18"/>
                <w:rFonts w:ascii="Arial" w:hAnsi="Arial" w:eastAsia="Microsoft YaHei"/>
              </w:rPr>
              <w:t xml:space="preserve">Owner</w:t>
            </w:r>
          </w:p>
          <w:p>
            <w:pPr>
              <w:keepNext/>
              <w:spacing w:after="0" w:line="276"/>
            </w:pPr>
            <w:r>
              <w:rPr>
                <w:color w:val="667085"/>
                <w:sz w:val="16"/>
                <w:szCs w:val="16"/>
                <w:rFonts w:ascii="Arial" w:hAnsi="Arial" w:eastAsia="Microsoft YaHei"/>
              </w:rPr>
              <w:t xml:space="preserve">责任方</w:t>
            </w:r>
          </w:p>
        </w:tc>
        <w:tc>
          <w:tcPr>
            <w:tcW w:type="pct" w:w="72%"/>
            <w:shd w:fill="F2F4F7" w:val="clear"/>
            <w:tcMar>
              <w:top w:type="dxa" w:w="70"/>
              <w:left w:type="dxa" w:w="110"/>
              <w:bottom w:type="dxa" w:w="70"/>
              <w:right w:type="dxa" w:w="110"/>
            </w:tcMar>
          </w:tcPr>
          <w:p>
            <w:pPr>
              <w:keepNext/>
              <w:spacing w:after="10" w:line="276"/>
            </w:pPr>
            <w:r>
              <w:rPr>
                <w:b/>
                <w:bCs/>
                <w:color w:val="1F2937"/>
                <w:sz w:val="18"/>
                <w:szCs w:val="18"/>
                <w:rFonts w:ascii="Arial" w:hAnsi="Arial" w:eastAsia="Microsoft YaHei"/>
              </w:rPr>
              <w:t xml:space="preserve">Approval responsibility</w:t>
            </w:r>
          </w:p>
          <w:p>
            <w:pPr>
              <w:keepNext/>
              <w:spacing w:after="0" w:line="276"/>
            </w:pPr>
            <w:r>
              <w:rPr>
                <w:color w:val="667085"/>
                <w:sz w:val="16"/>
                <w:szCs w:val="16"/>
                <w:rFonts w:ascii="Arial" w:hAnsi="Arial" w:eastAsia="Microsoft YaHei"/>
              </w:rPr>
              <w:t xml:space="preserve">审批职责</w:t>
            </w:r>
          </w:p>
        </w:tc>
      </w:tr>
      <w:tr>
        <w:trPr>
          <w:cantSplit/>
        </w:trPr>
        <w:tc>
          <w:tcPr>
            <w:tcW w:type="pct" w:w="2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Product/Operations</w:t>
            </w:r>
          </w:p>
          <w:p>
            <w:pPr>
              <w:keepNext w:val="false"/>
              <w:spacing w:after="0" w:line="276"/>
            </w:pPr>
            <w:r>
              <w:rPr>
                <w:color w:val="667085"/>
                <w:sz w:val="16"/>
                <w:szCs w:val="16"/>
                <w:rFonts w:ascii="Arial" w:hAnsi="Arial" w:eastAsia="Microsoft YaHei"/>
              </w:rPr>
              <w:t xml:space="preserve">产品/运营</w:t>
            </w:r>
          </w:p>
        </w:tc>
        <w:tc>
          <w:tcPr>
            <w:tcW w:type="pct" w:w="72%"/>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Trigger timing, consumer next action, service-level expectation</w:t>
            </w:r>
          </w:p>
          <w:p>
            <w:pPr>
              <w:keepNext w:val="false"/>
              <w:spacing w:after="0" w:line="276"/>
            </w:pPr>
            <w:r>
              <w:rPr>
                <w:color w:val="667085"/>
                <w:sz w:val="16"/>
                <w:szCs w:val="16"/>
                <w:rFonts w:ascii="Arial" w:hAnsi="Arial" w:eastAsia="Microsoft YaHei"/>
              </w:rPr>
              <w:t xml:space="preserve">触发时机、消费者下一步动作、服务时效预期</w:t>
            </w:r>
          </w:p>
        </w:tc>
      </w:tr>
      <w:tr>
        <w:trPr>
          <w:cantSplit/>
        </w:trPr>
        <w:tc>
          <w:tcPr>
            <w:tcW w:type="pct" w:w="2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Customer Service</w:t>
            </w:r>
          </w:p>
          <w:p>
            <w:pPr>
              <w:keepNext w:val="false"/>
              <w:spacing w:after="0" w:line="276"/>
            </w:pPr>
            <w:r>
              <w:rPr>
                <w:color w:val="667085"/>
                <w:sz w:val="16"/>
                <w:szCs w:val="16"/>
                <w:rFonts w:ascii="Arial" w:hAnsi="Arial" w:eastAsia="Microsoft YaHei"/>
              </w:rPr>
              <w:t xml:space="preserve">客服</w:t>
            </w:r>
          </w:p>
        </w:tc>
        <w:tc>
          <w:tcPr>
            <w:tcW w:type="pct" w:w="72%"/>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Action-required instructions and approved consumer reason text</w:t>
            </w:r>
          </w:p>
          <w:p>
            <w:pPr>
              <w:keepNext w:val="false"/>
              <w:spacing w:after="0" w:line="276"/>
            </w:pPr>
            <w:r>
              <w:rPr>
                <w:color w:val="667085"/>
                <w:sz w:val="16"/>
                <w:szCs w:val="16"/>
                <w:rFonts w:ascii="Arial" w:hAnsi="Arial" w:eastAsia="Microsoft YaHei"/>
              </w:rPr>
              <w:t xml:space="preserve">“需要行动”类指引，以及经批准的面向消费者的原因文案</w:t>
            </w:r>
          </w:p>
        </w:tc>
      </w:tr>
      <w:tr>
        <w:trPr>
          <w:cantSplit/>
        </w:trPr>
        <w:tc>
          <w:tcPr>
            <w:tcW w:type="pct" w:w="2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Finance</w:t>
            </w:r>
          </w:p>
          <w:p>
            <w:pPr>
              <w:keepNext w:val="false"/>
              <w:spacing w:after="0" w:line="276"/>
            </w:pPr>
            <w:r>
              <w:rPr>
                <w:color w:val="667085"/>
                <w:sz w:val="16"/>
                <w:szCs w:val="16"/>
                <w:rFonts w:ascii="Arial" w:hAnsi="Arial" w:eastAsia="Microsoft YaHei"/>
              </w:rPr>
              <w:t xml:space="preserve">财务</w:t>
            </w:r>
          </w:p>
        </w:tc>
        <w:tc>
          <w:tcPr>
            <w:tcW w:type="pct" w:w="72%"/>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Refund completion fact and external reference availability</w:t>
            </w:r>
          </w:p>
          <w:p>
            <w:pPr>
              <w:keepNext w:val="false"/>
              <w:spacing w:after="0" w:line="276"/>
            </w:pPr>
            <w:r>
              <w:rPr>
                <w:color w:val="667085"/>
                <w:sz w:val="16"/>
                <w:szCs w:val="16"/>
                <w:rFonts w:ascii="Arial" w:hAnsi="Arial" w:eastAsia="Microsoft YaHei"/>
              </w:rPr>
              <w:t xml:space="preserve">退款完成事实与外部参考号的可获得性</w:t>
            </w:r>
          </w:p>
        </w:tc>
      </w:tr>
      <w:tr>
        <w:trPr>
          <w:cantSplit/>
        </w:trPr>
        <w:tc>
          <w:tcPr>
            <w:tcW w:type="pct" w:w="2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Logistics</w:t>
            </w:r>
          </w:p>
          <w:p>
            <w:pPr>
              <w:keepNext w:val="false"/>
              <w:spacing w:after="0" w:line="276"/>
            </w:pPr>
            <w:r>
              <w:rPr>
                <w:color w:val="667085"/>
                <w:sz w:val="16"/>
                <w:szCs w:val="16"/>
                <w:rFonts w:ascii="Arial" w:hAnsi="Arial" w:eastAsia="Microsoft YaHei"/>
              </w:rPr>
              <w:t xml:space="preserve">物流</w:t>
            </w:r>
          </w:p>
        </w:tc>
        <w:tc>
          <w:tcPr>
            <w:tcW w:type="pct" w:w="72%"/>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Replacement shipment fact and tracking availability</w:t>
            </w:r>
          </w:p>
          <w:p>
            <w:pPr>
              <w:keepNext w:val="false"/>
              <w:spacing w:after="0" w:line="276"/>
            </w:pPr>
            <w:r>
              <w:rPr>
                <w:color w:val="667085"/>
                <w:sz w:val="16"/>
                <w:szCs w:val="16"/>
                <w:rFonts w:ascii="Arial" w:hAnsi="Arial" w:eastAsia="Microsoft YaHei"/>
              </w:rPr>
              <w:t xml:space="preserve">补发商品发货事实与运单号的可获得性</w:t>
            </w:r>
          </w:p>
        </w:tc>
      </w:tr>
      <w:tr>
        <w:trPr>
          <w:cantSplit/>
        </w:trPr>
        <w:tc>
          <w:tcPr>
            <w:tcW w:type="pct" w:w="2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Compliance/Legal</w:t>
            </w:r>
          </w:p>
          <w:p>
            <w:pPr>
              <w:keepNext w:val="false"/>
              <w:spacing w:after="0" w:line="276"/>
            </w:pPr>
            <w:r>
              <w:rPr>
                <w:color w:val="667085"/>
                <w:sz w:val="16"/>
                <w:szCs w:val="16"/>
                <w:rFonts w:ascii="Arial" w:hAnsi="Arial" w:eastAsia="Microsoft YaHei"/>
              </w:rPr>
              <w:t xml:space="preserve">合规/法务</w:t>
            </w:r>
          </w:p>
        </w:tc>
        <w:tc>
          <w:tcPr>
            <w:tcW w:type="pct" w:w="72%"/>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Recall terminology, decision/closure wording, privacy and regulatory review</w:t>
            </w:r>
          </w:p>
          <w:p>
            <w:pPr>
              <w:keepNext w:val="false"/>
              <w:spacing w:after="0" w:line="276"/>
            </w:pPr>
            <w:r>
              <w:rPr>
                <w:color w:val="667085"/>
                <w:sz w:val="16"/>
                <w:szCs w:val="16"/>
                <w:rFonts w:ascii="Arial" w:hAnsi="Arial" w:eastAsia="Microsoft YaHei"/>
              </w:rPr>
              <w:t xml:space="preserve">召回术语、决定/结案措辞、隐私与合规审查</w:t>
            </w:r>
          </w:p>
        </w:tc>
      </w:tr>
      <w:tr>
        <w:trPr>
          <w:cantSplit/>
        </w:trPr>
        <w:tc>
          <w:tcPr>
            <w:tcW w:type="pct" w:w="28%"/>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Engineering</w:t>
            </w:r>
          </w:p>
          <w:p>
            <w:pPr>
              <w:keepNext w:val="false"/>
              <w:spacing w:after="0" w:line="276"/>
            </w:pPr>
            <w:r>
              <w:rPr>
                <w:color w:val="667085"/>
                <w:sz w:val="16"/>
                <w:szCs w:val="16"/>
                <w:rFonts w:ascii="Arial" w:hAnsi="Arial" w:eastAsia="Microsoft YaHei"/>
              </w:rPr>
              <w:t xml:space="preserve">工程</w:t>
            </w:r>
          </w:p>
        </w:tc>
        <w:tc>
          <w:tcPr>
            <w:tcW w:type="pct" w:w="72%"/>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Atomic enqueue, rendering, provider integration, retries, observability</w:t>
            </w:r>
          </w:p>
          <w:p>
            <w:pPr>
              <w:keepNext w:val="false"/>
              <w:spacing w:after="0" w:line="276"/>
            </w:pPr>
            <w:r>
              <w:rPr>
                <w:color w:val="667085"/>
                <w:sz w:val="16"/>
                <w:szCs w:val="16"/>
                <w:rFonts w:ascii="Arial" w:hAnsi="Arial" w:eastAsia="Microsoft YaHei"/>
              </w:rPr>
              <w:t xml:space="preserve">原子入队、渲染、供应商集成、重试、可观测性</w:t>
            </w:r>
          </w:p>
        </w:tc>
      </w:tr>
    </w:tbl>
    <w:p>
      <w:pPr>
        <w:spacing w:after="160" w:line="240"/>
      </w:pPr>
    </w:p>
    <w:p>
      <w:pPr>
        <w:pStyle w:val="Heading1"/>
        <w:keepNext/>
        <w:spacing w:before="300" w:after="140" w:line="312"/>
      </w:pPr>
      <w:r>
        <w:rPr>
          <w:b/>
          <w:bCs/>
          <w:color w:val="2E74B5"/>
          <w:sz w:val="30"/>
          <w:szCs w:val="30"/>
          <w:rFonts w:ascii="Arial" w:hAnsi="Arial" w:eastAsia="Microsoft YaHei"/>
        </w:rPr>
        <w:t xml:space="preserve">8. Acceptance criteria</w:t>
      </w:r>
      <w:r>
        <w:rPr>
          <w:b/>
          <w:bCs/>
          <w:color w:val="667085"/>
          <w:sz w:val="26"/>
          <w:szCs w:val="26"/>
          <w:rFonts w:ascii="Arial" w:hAnsi="Arial" w:eastAsia="Microsoft YaHei"/>
        </w:rPr>
        <w:t xml:space="preserve">　验收标准</w:t>
      </w:r>
    </w:p>
    <w:p>
      <w:pPr>
        <w:pStyle w:val="ListParagraph"/>
        <w:numPr>
          <w:ilvl w:val="0"/>
          <w:numId w:val="1"/>
        </w:numPr>
        <w:spacing w:after="100" w:line="312"/>
      </w:pPr>
      <w:r>
        <w:rPr>
          <w:color w:val="1F2937"/>
          <w:sz w:val="19"/>
          <w:szCs w:val="19"/>
          <w:rFonts w:ascii="Arial" w:hAnsi="Arial" w:eastAsia="Microsoft YaHei"/>
        </w:rPr>
        <w:t xml:space="preserve">Each of the nine trigger branches has a positive integration test and a duplicate/retry test.</w:t>
      </w:r>
      <w:r>
        <w:rPr>
          <w:color w:val="667085"/>
          <w:sz w:val="18"/>
          <w:szCs w:val="18"/>
          <w:rFonts w:ascii="Arial" w:hAnsi="Arial" w:eastAsia="Microsoft YaHei"/>
        </w:rPr>
        <w:br/>
        <w:t xml:space="preserve">九个触发分支各自具备一条正向集成测试和一条重复/重试测试。</w:t>
      </w:r>
    </w:p>
    <w:p>
      <w:pPr>
        <w:pStyle w:val="ListParagraph"/>
        <w:numPr>
          <w:ilvl w:val="0"/>
          <w:numId w:val="1"/>
        </w:numPr>
        <w:spacing w:after="100" w:line="312"/>
      </w:pPr>
      <w:r>
        <w:rPr>
          <w:color w:val="1F2937"/>
          <w:sz w:val="19"/>
          <w:szCs w:val="19"/>
          <w:rFonts w:ascii="Arial" w:hAnsi="Arial" w:eastAsia="Microsoft YaHei"/>
        </w:rPr>
        <w:t xml:space="preserve">No email is generated for draft creation, document upload, triage, or ordinary under-review transitions.</w:t>
      </w:r>
      <w:r>
        <w:rPr>
          <w:color w:val="667085"/>
          <w:sz w:val="18"/>
          <w:szCs w:val="18"/>
          <w:rFonts w:ascii="Arial" w:hAnsi="Arial" w:eastAsia="Microsoft YaHei"/>
        </w:rPr>
        <w:br/>
        <w:t xml:space="preserve">草稿创建、材料上传、初审以及普通审核中状态流转，均不产生邮件。</w:t>
      </w:r>
    </w:p>
    <w:p>
      <w:pPr>
        <w:pStyle w:val="ListParagraph"/>
        <w:numPr>
          <w:ilvl w:val="0"/>
          <w:numId w:val="1"/>
        </w:numPr>
        <w:spacing w:after="100" w:line="312"/>
      </w:pPr>
      <w:r>
        <w:rPr>
          <w:color w:val="1F2937"/>
          <w:sz w:val="19"/>
          <w:szCs w:val="19"/>
          <w:rFonts w:ascii="Arial" w:hAnsi="Arial" w:eastAsia="Microsoft YaHei"/>
        </w:rPr>
        <w:t xml:space="preserve">Action-required, not-approved, and closed emails cannot be generated without an approved consumer-visible reason/instruction.</w:t>
      </w:r>
      <w:r>
        <w:rPr>
          <w:color w:val="667085"/>
          <w:sz w:val="18"/>
          <w:szCs w:val="18"/>
          <w:rFonts w:ascii="Arial" w:hAnsi="Arial" w:eastAsia="Microsoft YaHei"/>
        </w:rPr>
        <w:br/>
        <w:t xml:space="preserve">未经批准的消费者可见原因/指引，不得生成“需要行动”“未获批准”“已关闭”类邮件。</w:t>
      </w:r>
    </w:p>
    <w:p>
      <w:pPr>
        <w:pStyle w:val="ListParagraph"/>
        <w:numPr>
          <w:ilvl w:val="0"/>
          <w:numId w:val="1"/>
        </w:numPr>
        <w:spacing w:after="100" w:line="312"/>
      </w:pPr>
      <w:r>
        <w:rPr>
          <w:color w:val="1F2937"/>
          <w:sz w:val="19"/>
          <w:szCs w:val="19"/>
          <w:rFonts w:ascii="Arial" w:hAnsi="Arial" w:eastAsia="Microsoft YaHei"/>
        </w:rPr>
        <w:t xml:space="preserve">Refund-completed email requires an externally completed Refund Resolution and a recorded external reference when one exists.</w:t>
      </w:r>
      <w:r>
        <w:rPr>
          <w:color w:val="667085"/>
          <w:sz w:val="18"/>
          <w:szCs w:val="18"/>
          <w:rFonts w:ascii="Arial" w:hAnsi="Arial" w:eastAsia="Microsoft YaHei"/>
        </w:rPr>
        <w:br/>
        <w:t xml:space="preserve">“退款完成”邮件要求存在外部已完成的退款处置方案（Resolution），且在外部参考号存在时已记录在案。</w:t>
      </w:r>
    </w:p>
    <w:p>
      <w:pPr>
        <w:pStyle w:val="ListParagraph"/>
        <w:numPr>
          <w:ilvl w:val="0"/>
          <w:numId w:val="1"/>
        </w:numPr>
        <w:spacing w:after="100" w:line="312"/>
      </w:pPr>
      <w:r>
        <w:rPr>
          <w:color w:val="1F2937"/>
          <w:sz w:val="19"/>
          <w:szCs w:val="19"/>
          <w:rFonts w:ascii="Arial" w:hAnsi="Arial" w:eastAsia="Microsoft YaHei"/>
        </w:rPr>
        <w:t xml:space="preserve">Replacement-shipped email requires a shipment event; approval alone cannot claim shipment.</w:t>
      </w:r>
      <w:r>
        <w:rPr>
          <w:color w:val="667085"/>
          <w:sz w:val="18"/>
          <w:szCs w:val="18"/>
          <w:rFonts w:ascii="Arial" w:hAnsi="Arial" w:eastAsia="Microsoft YaHei"/>
        </w:rPr>
        <w:br/>
        <w:t xml:space="preserve">“补发已发货”邮件要求存在发货事件；仅凭批准不能声称已发货。</w:t>
      </w:r>
    </w:p>
    <w:p>
      <w:pPr>
        <w:pStyle w:val="ListParagraph"/>
        <w:numPr>
          <w:ilvl w:val="0"/>
          <w:numId w:val="1"/>
        </w:numPr>
        <w:spacing w:after="100" w:line="312"/>
      </w:pPr>
      <w:r>
        <w:rPr>
          <w:color w:val="1F2937"/>
          <w:sz w:val="19"/>
          <w:szCs w:val="19"/>
          <w:rFonts w:ascii="Arial" w:hAnsi="Arial" w:eastAsia="Microsoft YaHei"/>
        </w:rPr>
        <w:t xml:space="preserve">Email content renders all required variables; unresolved {{...}} markers fail the worker and never reach Resend.</w:t>
      </w:r>
      <w:r>
        <w:rPr>
          <w:color w:val="667085"/>
          <w:sz w:val="18"/>
          <w:szCs w:val="18"/>
          <w:rFonts w:ascii="Arial" w:hAnsi="Arial" w:eastAsia="Microsoft YaHei"/>
        </w:rPr>
        <w:br/>
        <w:t xml:space="preserve">邮件内容渲染所有必填变量；存在未解析的 {{...}} 占位符时 worker 必须失败，绝不发送到 Resend。</w:t>
      </w:r>
    </w:p>
    <w:p>
      <w:pPr>
        <w:pStyle w:val="ListParagraph"/>
        <w:numPr>
          <w:ilvl w:val="0"/>
          <w:numId w:val="1"/>
        </w:numPr>
        <w:spacing w:after="100" w:line="312"/>
      </w:pPr>
      <w:r>
        <w:rPr>
          <w:color w:val="1F2937"/>
          <w:sz w:val="19"/>
          <w:szCs w:val="19"/>
          <w:rFonts w:ascii="Arial" w:hAnsi="Arial" w:eastAsia="Microsoft YaHei"/>
        </w:rPr>
        <w:t xml:space="preserve">The provider request carries an idempotency key; replaying the same Outbox event does not produce a duplicate email.</w:t>
      </w:r>
      <w:r>
        <w:rPr>
          <w:color w:val="667085"/>
          <w:sz w:val="18"/>
          <w:szCs w:val="18"/>
          <w:rFonts w:ascii="Arial" w:hAnsi="Arial" w:eastAsia="Microsoft YaHei"/>
        </w:rPr>
        <w:br/>
        <w:t xml:space="preserve">供应商请求携带幂等键；重放同一 Outbox 事件不会产生重复邮件。</w:t>
      </w:r>
    </w:p>
    <w:p>
      <w:pPr>
        <w:pStyle w:val="ListParagraph"/>
        <w:numPr>
          <w:ilvl w:val="0"/>
          <w:numId w:val="1"/>
        </w:numPr>
        <w:spacing w:after="100" w:line="312"/>
      </w:pPr>
      <w:r>
        <w:rPr>
          <w:color w:val="1F2937"/>
          <w:sz w:val="19"/>
          <w:szCs w:val="19"/>
          <w:rFonts w:ascii="Arial" w:hAnsi="Arial" w:eastAsia="Microsoft YaHei"/>
        </w:rPr>
        <w:t xml:space="preserve">Webhook signatures, duplicates, delayed delivery, bounce, complaint, suppression, and failure paths are tested.</w:t>
      </w:r>
      <w:r>
        <w:rPr>
          <w:color w:val="667085"/>
          <w:sz w:val="18"/>
          <w:szCs w:val="18"/>
          <w:rFonts w:ascii="Arial" w:hAnsi="Arial" w:eastAsia="Microsoft YaHei"/>
        </w:rPr>
        <w:br/>
        <w:t xml:space="preserve">Webhook 签名、重复投递、延迟送达、退信、投诉、抑制与失败路径均有测试覆盖。</w:t>
      </w:r>
    </w:p>
    <w:p>
      <w:pPr>
        <w:pStyle w:val="ListParagraph"/>
        <w:numPr>
          <w:ilvl w:val="0"/>
          <w:numId w:val="1"/>
        </w:numPr>
        <w:spacing w:after="100" w:line="312"/>
      </w:pPr>
      <w:r>
        <w:rPr>
          <w:color w:val="1F2937"/>
          <w:sz w:val="19"/>
          <w:szCs w:val="19"/>
          <w:rFonts w:ascii="Arial" w:hAnsi="Arial" w:eastAsia="Microsoft YaHei"/>
        </w:rPr>
        <w:t xml:space="preserve">Staging evidence includes a real message ID, persisted sent/delivered state, and visual review in major desktop/mobile clients.</w:t>
      </w:r>
      <w:r>
        <w:rPr>
          <w:color w:val="667085"/>
          <w:sz w:val="18"/>
          <w:szCs w:val="18"/>
          <w:rFonts w:ascii="Arial" w:hAnsi="Arial" w:eastAsia="Microsoft YaHei"/>
        </w:rPr>
        <w:br/>
        <w:t xml:space="preserve">预发环境证据包括真实消息 ID、持久化的 sent/delivered 状态，以及主流桌面/移动客户端的视觉走查。</w:t>
      </w:r>
    </w:p>
    <w:p>
      <w:pPr>
        <w:pStyle w:val="Heading1"/>
        <w:keepNext/>
        <w:spacing w:before="300" w:after="140" w:line="312"/>
      </w:pPr>
      <w:r>
        <w:rPr>
          <w:b/>
          <w:bCs/>
          <w:color w:val="2E74B5"/>
          <w:sz w:val="30"/>
          <w:szCs w:val="30"/>
          <w:rFonts w:ascii="Arial" w:hAnsi="Arial" w:eastAsia="Microsoft YaHei"/>
        </w:rPr>
        <w:t xml:space="preserve">9. Implementation priority</w:t>
      </w:r>
      <w:r>
        <w:rPr>
          <w:b/>
          <w:bCs/>
          <w:color w:val="667085"/>
          <w:sz w:val="26"/>
          <w:szCs w:val="26"/>
          <w:rFonts w:ascii="Arial" w:hAnsi="Arial" w:eastAsia="Microsoft YaHei"/>
        </w:rPr>
        <w:t xml:space="preserve">　实施优先级</w:t>
      </w:r>
    </w:p>
    <w:tbl>
      <w:tblPr>
        <w:tblW w:type="pct" w:w="100%"/>
        <w:tblBorders>
          <w:top w:val="single" w:color="D0D7DE" w:sz="2"/>
          <w:left w:val="single" w:color="D0D7DE" w:sz="2"/>
          <w:bottom w:val="single" w:color="D0D7DE" w:sz="2"/>
          <w:right w:val="single" w:color="D0D7DE" w:sz="2"/>
          <w:insideH w:val="single" w:color="D0D7DE" w:sz="2"/>
          <w:insideV w:val="single" w:color="D0D7DE" w:sz="2"/>
        </w:tblBorders>
      </w:tblPr>
      <w:tblGrid>
        <w:gridCol w:w="1498"/>
        <w:gridCol w:w="7862"/>
      </w:tblGrid>
      <w:tr>
        <w:trPr>
          <w:cantSplit/>
          <w:tblHeader/>
        </w:trPr>
        <w:tc>
          <w:tcPr>
            <w:tcW w:type="pct" w:w="16%"/>
            <w:shd w:fill="F2F4F7" w:val="clear"/>
            <w:tcMar>
              <w:top w:type="dxa" w:w="70"/>
              <w:left w:type="dxa" w:w="110"/>
              <w:bottom w:type="dxa" w:w="70"/>
              <w:right w:type="dxa" w:w="110"/>
            </w:tcMar>
          </w:tcPr>
          <w:p>
            <w:pPr>
              <w:keepNext/>
              <w:spacing w:after="10" w:line="276"/>
            </w:pPr>
            <w:r>
              <w:rPr>
                <w:b/>
                <w:bCs/>
                <w:color w:val="1F2937"/>
                <w:sz w:val="18"/>
                <w:szCs w:val="18"/>
                <w:rFonts w:ascii="Arial" w:hAnsi="Arial" w:eastAsia="Microsoft YaHei"/>
              </w:rPr>
              <w:t xml:space="preserve">Priority</w:t>
            </w:r>
          </w:p>
          <w:p>
            <w:pPr>
              <w:keepNext/>
              <w:spacing w:after="0" w:line="276"/>
            </w:pPr>
            <w:r>
              <w:rPr>
                <w:color w:val="667085"/>
                <w:sz w:val="16"/>
                <w:szCs w:val="16"/>
                <w:rFonts w:ascii="Arial" w:hAnsi="Arial" w:eastAsia="Microsoft YaHei"/>
              </w:rPr>
              <w:t xml:space="preserve">优先级</w:t>
            </w:r>
          </w:p>
        </w:tc>
        <w:tc>
          <w:tcPr>
            <w:tcW w:type="pct" w:w="84%"/>
            <w:shd w:fill="F2F4F7" w:val="clear"/>
            <w:tcMar>
              <w:top w:type="dxa" w:w="70"/>
              <w:left w:type="dxa" w:w="110"/>
              <w:bottom w:type="dxa" w:w="70"/>
              <w:right w:type="dxa" w:w="110"/>
            </w:tcMar>
          </w:tcPr>
          <w:p>
            <w:pPr>
              <w:keepNext/>
              <w:spacing w:after="10" w:line="276"/>
            </w:pPr>
            <w:r>
              <w:rPr>
                <w:b/>
                <w:bCs/>
                <w:color w:val="1F2937"/>
                <w:sz w:val="18"/>
                <w:szCs w:val="18"/>
                <w:rFonts w:ascii="Arial" w:hAnsi="Arial" w:eastAsia="Microsoft YaHei"/>
              </w:rPr>
              <w:t xml:space="preserve">Work</w:t>
            </w:r>
          </w:p>
          <w:p>
            <w:pPr>
              <w:keepNext/>
              <w:spacing w:after="0" w:line="276"/>
            </w:pPr>
            <w:r>
              <w:rPr>
                <w:color w:val="667085"/>
                <w:sz w:val="16"/>
                <w:szCs w:val="16"/>
                <w:rFonts w:ascii="Arial" w:hAnsi="Arial" w:eastAsia="Microsoft YaHei"/>
              </w:rPr>
              <w:t xml:space="preserve">工作内容</w:t>
            </w:r>
          </w:p>
        </w:tc>
      </w:tr>
      <w:tr>
        <w:trPr>
          <w:cantSplit/>
        </w:trPr>
        <w:tc>
          <w:tcPr>
            <w:tcW w:type="pct" w:w="16%"/>
            <w:tcMar>
              <w:top w:type="dxa" w:w="70"/>
              <w:left w:type="dxa" w:w="110"/>
              <w:bottom w:type="dxa" w:w="70"/>
              <w:right w:type="dxa" w:w="110"/>
            </w:tcMar>
          </w:tcPr>
          <w:p>
            <w:pPr>
              <w:keepNext w:val="false"/>
              <w:spacing w:after="0" w:line="276"/>
            </w:pPr>
            <w:r>
              <w:rPr>
                <w:b w:val="false"/>
                <w:bCs w:val="false"/>
                <w:color w:val="1F2937"/>
                <w:sz w:val="18"/>
                <w:szCs w:val="18"/>
                <w:rFonts w:ascii="Arial" w:hAnsi="Arial" w:eastAsia="Microsoft YaHei"/>
              </w:rPr>
              <w:t xml:space="preserve">P0</w:t>
            </w:r>
          </w:p>
        </w:tc>
        <w:tc>
          <w:tcPr>
            <w:tcW w:type="pct" w:w="84%"/>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Template variable rendering; Provider idempotency; scheduled Outbox drain; action-required and decision emails</w:t>
            </w:r>
          </w:p>
          <w:p>
            <w:pPr>
              <w:keepNext w:val="false"/>
              <w:spacing w:after="0" w:line="276"/>
            </w:pPr>
            <w:r>
              <w:rPr>
                <w:color w:val="667085"/>
                <w:sz w:val="16"/>
                <w:szCs w:val="16"/>
                <w:rFonts w:ascii="Arial" w:hAnsi="Arial" w:eastAsia="Microsoft YaHei"/>
              </w:rPr>
              <w:t xml:space="preserve">模板变量渲染；供应商幂等；Outbox 定时消费；“需要行动”与“决定”类邮件</w:t>
            </w:r>
          </w:p>
        </w:tc>
      </w:tr>
      <w:tr>
        <w:trPr>
          <w:cantSplit/>
        </w:trPr>
        <w:tc>
          <w:tcPr>
            <w:tcW w:type="pct" w:w="16%"/>
            <w:tcMar>
              <w:top w:type="dxa" w:w="70"/>
              <w:left w:type="dxa" w:w="110"/>
              <w:bottom w:type="dxa" w:w="70"/>
              <w:right w:type="dxa" w:w="110"/>
            </w:tcMar>
          </w:tcPr>
          <w:p>
            <w:pPr>
              <w:keepNext w:val="false"/>
              <w:spacing w:after="0" w:line="276"/>
            </w:pPr>
            <w:r>
              <w:rPr>
                <w:b w:val="false"/>
                <w:bCs w:val="false"/>
                <w:color w:val="1F2937"/>
                <w:sz w:val="18"/>
                <w:szCs w:val="18"/>
                <w:rFonts w:ascii="Arial" w:hAnsi="Arial" w:eastAsia="Microsoft YaHei"/>
              </w:rPr>
              <w:t xml:space="preserve">P1</w:t>
            </w:r>
          </w:p>
        </w:tc>
        <w:tc>
          <w:tcPr>
            <w:tcW w:type="pct" w:w="84%"/>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Refund/replacement execution emails; stale-lock recovery; dead-letter operations; complete webhook event model</w:t>
            </w:r>
          </w:p>
          <w:p>
            <w:pPr>
              <w:keepNext w:val="false"/>
              <w:spacing w:after="0" w:line="276"/>
            </w:pPr>
            <w:r>
              <w:rPr>
                <w:color w:val="667085"/>
                <w:sz w:val="16"/>
                <w:szCs w:val="16"/>
                <w:rFonts w:ascii="Arial" w:hAnsi="Arial" w:eastAsia="Microsoft YaHei"/>
              </w:rPr>
              <w:t xml:space="preserve">退款/补发执行类邮件；过期锁恢复；死信运营；完整的 webhook 事件模型</w:t>
            </w:r>
          </w:p>
        </w:tc>
      </w:tr>
      <w:tr>
        <w:trPr>
          <w:cantSplit/>
        </w:trPr>
        <w:tc>
          <w:tcPr>
            <w:tcW w:type="pct" w:w="16%"/>
            <w:tcMar>
              <w:top w:type="dxa" w:w="70"/>
              <w:left w:type="dxa" w:w="110"/>
              <w:bottom w:type="dxa" w:w="70"/>
              <w:right w:type="dxa" w:w="110"/>
            </w:tcMar>
          </w:tcPr>
          <w:p>
            <w:pPr>
              <w:keepNext w:val="false"/>
              <w:spacing w:after="0" w:line="276"/>
            </w:pPr>
            <w:r>
              <w:rPr>
                <w:b w:val="false"/>
                <w:bCs w:val="false"/>
                <w:color w:val="1F2937"/>
                <w:sz w:val="18"/>
                <w:szCs w:val="18"/>
                <w:rFonts w:ascii="Arial" w:hAnsi="Arial" w:eastAsia="Microsoft YaHei"/>
              </w:rPr>
              <w:t xml:space="preserve">P2</w:t>
            </w:r>
          </w:p>
        </w:tc>
        <w:tc>
          <w:tcPr>
            <w:tcW w:type="pct" w:w="84%"/>
            <w:tcMar>
              <w:top w:type="dxa" w:w="70"/>
              <w:left w:type="dxa" w:w="110"/>
              <w:bottom w:type="dxa" w:w="70"/>
              <w:right w:type="dxa" w:w="110"/>
            </w:tcMar>
          </w:tcPr>
          <w:p>
            <w:pPr>
              <w:keepNext/>
              <w:spacing w:after="16" w:line="276"/>
            </w:pPr>
            <w:r>
              <w:rPr>
                <w:b w:val="false"/>
                <w:bCs w:val="false"/>
                <w:color w:val="1F2937"/>
                <w:sz w:val="18"/>
                <w:szCs w:val="18"/>
                <w:rFonts w:ascii="Arial" w:hAnsi="Arial" w:eastAsia="Microsoft YaHei"/>
              </w:rPr>
              <w:t xml:space="preserve">Localization expansion, richer delivery analytics, optional account notification preferences for non-essential updates</w:t>
            </w:r>
          </w:p>
          <w:p>
            <w:pPr>
              <w:keepNext w:val="false"/>
              <w:spacing w:after="0" w:line="276"/>
            </w:pPr>
            <w:r>
              <w:rPr>
                <w:color w:val="667085"/>
                <w:sz w:val="16"/>
                <w:szCs w:val="16"/>
                <w:rFonts w:ascii="Arial" w:hAnsi="Arial" w:eastAsia="Microsoft YaHei"/>
              </w:rPr>
              <w:t xml:space="preserve">多语言扩展、更丰富的投递分析、面向非必要更新的可选账号通知偏好</w:t>
            </w:r>
          </w:p>
        </w:tc>
      </w:tr>
    </w:tbl>
    <w:p>
      <w:pPr>
        <w:spacing w:after="160" w:line="240"/>
      </w:pPr>
    </w:p>
    <w:p>
      <w:pPr>
        <w:pStyle w:val="Heading1"/>
        <w:keepNext/>
        <w:spacing w:before="300" w:after="140" w:line="312"/>
      </w:pPr>
      <w:r>
        <w:rPr>
          <w:b/>
          <w:bCs/>
          <w:color w:val="2E74B5"/>
          <w:sz w:val="30"/>
          <w:szCs w:val="30"/>
          <w:rFonts w:ascii="Arial" w:hAnsi="Arial" w:eastAsia="Microsoft YaHei"/>
        </w:rPr>
        <w:t xml:space="preserve">Repository evidence</w:t>
      </w:r>
      <w:r>
        <w:rPr>
          <w:b/>
          <w:bCs/>
          <w:color w:val="667085"/>
          <w:sz w:val="26"/>
          <w:szCs w:val="26"/>
          <w:rFonts w:ascii="Arial" w:hAnsi="Arial" w:eastAsia="Microsoft YaHei"/>
        </w:rPr>
        <w:t xml:space="preserve">　仓库参考</w:t>
      </w:r>
    </w:p>
    <w:p>
      <w:pPr>
        <w:keepNext/>
        <w:spacing w:after="60" w:line="312"/>
      </w:pPr>
      <w:r>
        <w:rPr>
          <w:color w:val="1F2937"/>
          <w:sz w:val="18"/>
          <w:szCs w:val="18"/>
          <w:rFonts w:ascii="Arial" w:hAnsi="Arial" w:eastAsia="Microsoft YaHei"/>
        </w:rPr>
        <w:t xml:space="preserve">Current architecture overview: </w:t>
      </w:r>
      <w:r>
        <w:rPr>
          <w:color w:val="667085"/>
          <w:sz w:val="17"/>
          <w:szCs w:val="17"/>
          <w:rFonts w:ascii="Arial" w:hAnsi="Arial" w:eastAsia="Microsoft YaHei"/>
        </w:rPr>
        <w:t xml:space="preserve">　当前架构总览  </w:t>
      </w:r>
      <w:r>
        <w:rPr>
          <w:color w:val="1F2937"/>
          <w:sz w:val="17"/>
          <w:szCs w:val="17"/>
          <w:rFonts w:ascii="Courier New" w:hAnsi="Courier New" w:eastAsia="Microsoft YaHei"/>
        </w:rPr>
        <w:t xml:space="preserve">README.md 及 docs/phase-1/01-server-architecture.md（仓库内文档）</w:t>
      </w:r>
    </w:p>
    <w:p>
      <w:pPr>
        <w:keepNext/>
        <w:spacing w:after="60" w:line="312"/>
      </w:pPr>
      <w:r>
        <w:rPr>
          <w:color w:val="1F2937"/>
          <w:sz w:val="18"/>
          <w:szCs w:val="18"/>
          <w:rFonts w:ascii="Arial" w:hAnsi="Arial" w:eastAsia="Microsoft YaHei"/>
        </w:rPr>
        <w:t xml:space="preserve">Current trigger implementation: </w:t>
      </w:r>
      <w:r>
        <w:rPr>
          <w:color w:val="667085"/>
          <w:sz w:val="17"/>
          <w:szCs w:val="17"/>
          <w:rFonts w:ascii="Arial" w:hAnsi="Arial" w:eastAsia="Microsoft YaHei"/>
        </w:rPr>
        <w:t xml:space="preserve">　当前触发实现  </w:t>
      </w:r>
      <w:r>
        <w:rPr>
          <w:color w:val="1F2937"/>
          <w:sz w:val="17"/>
          <w:szCs w:val="17"/>
          <w:rFonts w:ascii="Courier New" w:hAnsi="Courier New" w:eastAsia="Microsoft YaHei"/>
        </w:rPr>
        <w:t xml:space="preserve">src/modules/cases/drizzle-case-service.ts</w:t>
      </w:r>
    </w:p>
    <w:p>
      <w:pPr>
        <w:keepNext/>
        <w:spacing w:after="60" w:line="312"/>
      </w:pPr>
      <w:r>
        <w:rPr>
          <w:color w:val="1F2937"/>
          <w:sz w:val="18"/>
          <w:szCs w:val="18"/>
          <w:rFonts w:ascii="Arial" w:hAnsi="Arial" w:eastAsia="Microsoft YaHei"/>
        </w:rPr>
        <w:t xml:space="preserve">Current public status copy: </w:t>
      </w:r>
      <w:r>
        <w:rPr>
          <w:color w:val="667085"/>
          <w:sz w:val="17"/>
          <w:szCs w:val="17"/>
          <w:rFonts w:ascii="Arial" w:hAnsi="Arial" w:eastAsia="Microsoft YaHei"/>
        </w:rPr>
        <w:t xml:space="preserve">　当前公开状态文案  </w:t>
      </w:r>
      <w:r>
        <w:rPr>
          <w:color w:val="1F2937"/>
          <w:sz w:val="17"/>
          <w:szCs w:val="17"/>
          <w:rFonts w:ascii="Courier New" w:hAnsi="Courier New" w:eastAsia="Microsoft YaHei"/>
        </w:rPr>
        <w:t xml:space="preserve">src/contracts/case-status-lookups.ts</w:t>
      </w:r>
    </w:p>
    <w:p>
      <w:pPr>
        <w:keepNext w:val="false"/>
        <w:spacing w:after="60" w:line="312"/>
      </w:pPr>
      <w:r>
        <w:rPr>
          <w:color w:val="1F2937"/>
          <w:sz w:val="18"/>
          <w:szCs w:val="18"/>
          <w:rFonts w:ascii="Arial" w:hAnsi="Arial" w:eastAsia="Microsoft YaHei"/>
        </w:rPr>
        <w:t xml:space="preserve">Current workflow state machine: </w:t>
      </w:r>
      <w:r>
        <w:rPr>
          <w:color w:val="667085"/>
          <w:sz w:val="17"/>
          <w:szCs w:val="17"/>
          <w:rFonts w:ascii="Arial" w:hAnsi="Arial" w:eastAsia="Microsoft YaHei"/>
        </w:rPr>
        <w:t xml:space="preserve">　当前工作流状态机  </w:t>
      </w:r>
      <w:r>
        <w:rPr>
          <w:color w:val="1F2937"/>
          <w:sz w:val="17"/>
          <w:szCs w:val="17"/>
          <w:rFonts w:ascii="Courier New" w:hAnsi="Courier New" w:eastAsia="Microsoft YaHei"/>
        </w:rPr>
        <w:t xml:space="preserve">src/modules/workflow/policy.ts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color w:val="667085"/>
        <w:sz w:val="16"/>
        <w:szCs w:val="16"/>
        <w:rFonts w:ascii="Arial" w:hAnsi="Arial" w:eastAsia="Microsoft YaHe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pPr>
    <w:r>
      <w:rPr>
        <w:color w:val="667085"/>
        <w:sz w:val="16"/>
        <w:szCs w:val="16"/>
        <w:rFonts w:ascii="Arial" w:hAnsi="Arial" w:eastAsia="Microsoft YaHei"/>
      </w:rPr>
      <w:t xml:space="preserve">KOI Recall | Email Trigger PRD 邮件触发PRD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7"/>
        <w:sz w:val="19"/>
        <w:szCs w:val="19"/>
        <w:rFonts w:ascii="Arial" w:hAnsi="Arial" w:eastAsia="Microsoft YaHei"/>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00" w:after="140" w:line="312"/>
    </w:pPr>
    <w:rPr>
      <w:b/>
      <w:bCs/>
      <w:color w:val="2E74B5"/>
      <w:sz w:val="30"/>
      <w:szCs w:val="30"/>
      <w:rFonts w:ascii="Arial" w:hAnsi="Arial" w:eastAsia="Microsoft YaHei"/>
    </w:rPr>
  </w:style>
  <w:style w:type="paragraph" w:styleId="Heading2">
    <w:name w:val="Heading 2"/>
    <w:basedOn w:val="Normal"/>
    <w:next w:val="Normal"/>
    <w:qFormat/>
    <w:pPr>
      <w:spacing w:before="220" w:after="100" w:line="312"/>
    </w:pPr>
    <w:rPr>
      <w:b/>
      <w:bCs/>
      <w:color w:val="2E74B5"/>
      <w:sz w:val="25"/>
      <w:szCs w:val="25"/>
      <w:rFonts w:ascii="Arial" w:hAnsi="Arial" w:eastAsia="Microsoft YaHei"/>
    </w:rPr>
  </w:style>
  <w:style w:type="paragraph" w:styleId="Heading3">
    <w:name w:val="Heading 3"/>
    <w:basedOn w:val="Normal"/>
    <w:next w:val="Normal"/>
    <w:qFormat/>
    <w:pPr>
      <w:spacing w:before="180" w:after="80" w:line="312"/>
    </w:pPr>
    <w:rPr>
      <w:b/>
      <w:bCs/>
      <w:color w:val="1F4D78"/>
      <w:sz w:val="22"/>
      <w:szCs w:val="22"/>
      <w:rFonts w:ascii="Arial" w:hAnsi="Arial" w:eastAsia="Microsoft YaHe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kvyzgztd5rrv3cyvzcat7.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2026-09-01T05:38:11.732Z</dcterms:created>
  <dcterms:modified xsi:type="dcterms:W3CDTF">2026-09-01T05:38:11.734Z</dcterms:modified>
</cp:coreProperties>
</file>

<file path=docProps/custom.xml><?xml version="1.0" encoding="utf-8"?>
<Properties xmlns="http://schemas.openxmlformats.org/officeDocument/2006/custom-properties" xmlns:vt="http://schemas.openxmlformats.org/officeDocument/2006/docPropsVTypes"/>
</file>